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1"/>
        <w:rPr>
          <w:sz w:val="18"/>
        </w:rPr>
      </w:pPr>
    </w:p>
    <w:p>
      <w:pPr>
        <w:pStyle w:val="Heading1"/>
        <w:spacing w:before="95"/>
      </w:pPr>
      <w:r>
        <w:rPr/>
        <w:t>CONTRATO Nº 2005001/2020FMS</w:t>
      </w:r>
    </w:p>
    <w:p>
      <w:pPr>
        <w:pStyle w:val="BodyText"/>
        <w:rPr>
          <w:b/>
          <w:sz w:val="24"/>
        </w:rPr>
      </w:pPr>
    </w:p>
    <w:p>
      <w:pPr>
        <w:pStyle w:val="BodyText"/>
        <w:spacing w:before="2"/>
        <w:rPr>
          <w:b/>
          <w:sz w:val="19"/>
        </w:rPr>
      </w:pPr>
    </w:p>
    <w:p>
      <w:pPr>
        <w:pStyle w:val="BodyText"/>
        <w:tabs>
          <w:tab w:pos="10026" w:val="left" w:leader="none"/>
        </w:tabs>
        <w:ind w:left="169" w:right="157"/>
      </w:pPr>
      <w:r>
        <w:rPr/>
        <w:t>Pelo presente instrumento de Contrato, de um lado o Município de A VEIRO, através do(a) FUNDO MUNICIPAL DE SAUDE, CNPJ-MF, Nº 17.838.403/0001-07, denominado daqui por diante de CONTRATANTE, representado neste ato pelo(a) Sr.(a) MARIA DA FÉ SANTIAGO SANTOS, Secretária Municipal de Saúde, residente na Av  Maria </w:t>
      </w:r>
      <w:r>
        <w:rPr>
          <w:spacing w:val="1"/>
        </w:rPr>
        <w:t> </w:t>
      </w:r>
      <w:r>
        <w:rPr/>
        <w:t>Pititinga, </w:t>
      </w:r>
      <w:r>
        <w:rPr>
          <w:spacing w:val="2"/>
        </w:rPr>
        <w:t> </w:t>
      </w:r>
      <w:r>
        <w:rPr/>
        <w:t>portador </w:t>
      </w:r>
      <w:r>
        <w:rPr>
          <w:spacing w:val="2"/>
        </w:rPr>
        <w:t> </w:t>
      </w:r>
      <w:r>
        <w:rPr/>
        <w:t>do </w:t>
      </w:r>
      <w:r>
        <w:rPr>
          <w:spacing w:val="2"/>
        </w:rPr>
        <w:t> </w:t>
      </w:r>
      <w:r>
        <w:rPr/>
        <w:t>CPF </w:t>
      </w:r>
      <w:r>
        <w:rPr>
          <w:spacing w:val="2"/>
        </w:rPr>
        <w:t> </w:t>
      </w:r>
      <w:r>
        <w:rPr/>
        <w:t>nº </w:t>
      </w:r>
      <w:r>
        <w:rPr>
          <w:spacing w:val="2"/>
        </w:rPr>
        <w:t> </w:t>
      </w:r>
      <w:r>
        <w:rPr/>
        <w:t>509.270.352-00 </w:t>
      </w:r>
      <w:r>
        <w:rPr>
          <w:spacing w:val="24"/>
        </w:rPr>
        <w:t> </w:t>
      </w:r>
      <w:r>
        <w:rPr/>
        <w:t>e </w:t>
      </w:r>
      <w:r>
        <w:rPr>
          <w:spacing w:val="25"/>
        </w:rPr>
        <w:t> </w:t>
      </w:r>
      <w:r>
        <w:rPr/>
        <w:t>do </w:t>
      </w:r>
      <w:r>
        <w:rPr>
          <w:spacing w:val="24"/>
        </w:rPr>
        <w:t> </w:t>
      </w:r>
      <w:r>
        <w:rPr/>
        <w:t>outro </w:t>
      </w:r>
      <w:r>
        <w:rPr>
          <w:spacing w:val="24"/>
        </w:rPr>
        <w:t> </w:t>
      </w:r>
      <w:r>
        <w:rPr/>
        <w:t>lado </w:t>
      </w:r>
      <w:r>
        <w:rPr>
          <w:spacing w:val="24"/>
        </w:rPr>
        <w:t> </w:t>
      </w:r>
      <w:r>
        <w:rPr/>
        <w:t>PRADO </w:t>
      </w:r>
      <w:r>
        <w:rPr>
          <w:spacing w:val="24"/>
        </w:rPr>
        <w:t> </w:t>
      </w:r>
      <w:r>
        <w:rPr/>
        <w:t>PHARMA </w:t>
      </w:r>
      <w:r>
        <w:rPr>
          <w:spacing w:val="24"/>
        </w:rPr>
        <w:t> </w:t>
      </w:r>
      <w:r>
        <w:rPr/>
        <w:t>LTDA,</w:t>
        <w:tab/>
        <w:t>CNPJ 04.389.760/0001-93, com sede na TRAV. LUIS BARBOSA, 1690, CARANANZAL,</w:t>
      </w:r>
      <w:r>
        <w:rPr>
          <w:spacing w:val="10"/>
        </w:rPr>
        <w:t> </w:t>
      </w:r>
      <w:r>
        <w:rPr/>
        <w:t>Santarém-PA, CEP 68040-420,</w:t>
      </w:r>
    </w:p>
    <w:p>
      <w:pPr>
        <w:pStyle w:val="BodyText"/>
        <w:spacing w:before="9"/>
        <w:ind w:left="169" w:right="161"/>
        <w:jc w:val="both"/>
      </w:pPr>
      <w:r>
        <w:rPr/>
        <w:t>de agora em diante denominada CONTRATADA(O), neste ato representado pelo(a) Sr(a). MANUEL PRADO PORTELA, residente na AVENIDA TROPICAL Nº 193, PRAINHA, Santarém-PA, CEP 68010-420, portador do(a) CPF 510.518.342-87, têm justo e contratado o seguinte:</w:t>
      </w:r>
    </w:p>
    <w:p>
      <w:pPr>
        <w:pStyle w:val="BodyText"/>
        <w:rPr>
          <w:sz w:val="24"/>
        </w:rPr>
      </w:pPr>
    </w:p>
    <w:p>
      <w:pPr>
        <w:pStyle w:val="BodyText"/>
        <w:spacing w:before="1"/>
      </w:pPr>
    </w:p>
    <w:p>
      <w:pPr>
        <w:pStyle w:val="Heading1"/>
      </w:pPr>
      <w:r>
        <w:rPr/>
        <w:t>CLÁUSULA PRIMEIRA - DO OBJETO CONTRATUAL</w:t>
      </w:r>
    </w:p>
    <w:p>
      <w:pPr>
        <w:pStyle w:val="BodyText"/>
        <w:rPr>
          <w:b/>
          <w:sz w:val="21"/>
        </w:rPr>
      </w:pPr>
    </w:p>
    <w:p>
      <w:pPr>
        <w:pStyle w:val="BodyText"/>
        <w:ind w:left="169" w:right="195"/>
        <w:jc w:val="both"/>
      </w:pPr>
      <w:r>
        <w:rPr/>
        <w:t>1.1 - AQUISIÇÃO DE MATERIAIS DE CONSUMO, TAIS COMO, MASCARAS LUVAS E TOCAS </w:t>
      </w:r>
      <w:r>
        <w:rPr>
          <w:spacing w:val="-6"/>
        </w:rPr>
        <w:t>P/ </w:t>
      </w:r>
      <w:r>
        <w:rPr/>
        <w:t>PREVENÇÃO E AÇÕES DE CONTENÇÃO DO EM MEIO A  PANDEMIA  DO  COVID-19  (CORONA  VIRUS).</w:t>
      </w:r>
    </w:p>
    <w:p>
      <w:pPr>
        <w:pStyle w:val="BodyText"/>
        <w:spacing w:before="8"/>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
        <w:gridCol w:w="4015"/>
        <w:gridCol w:w="1052"/>
        <w:gridCol w:w="1312"/>
        <w:gridCol w:w="1571"/>
        <w:gridCol w:w="1169"/>
      </w:tblGrid>
      <w:tr>
        <w:trPr>
          <w:trHeight w:val="367" w:hRule="atLeast"/>
        </w:trPr>
        <w:tc>
          <w:tcPr>
            <w:tcW w:w="565" w:type="dxa"/>
          </w:tcPr>
          <w:p>
            <w:pPr>
              <w:pStyle w:val="TableParagraph"/>
              <w:ind w:left="124"/>
              <w:rPr>
                <w:sz w:val="12"/>
              </w:rPr>
            </w:pPr>
            <w:r>
              <w:rPr>
                <w:w w:val="105"/>
                <w:sz w:val="12"/>
              </w:rPr>
              <w:t>ITEM</w:t>
            </w:r>
          </w:p>
          <w:p>
            <w:pPr>
              <w:pStyle w:val="TableParagraph"/>
              <w:spacing w:line="108" w:lineRule="exact" w:before="103"/>
              <w:ind w:left="50"/>
              <w:rPr>
                <w:sz w:val="12"/>
              </w:rPr>
            </w:pPr>
            <w:r>
              <w:rPr>
                <w:sz w:val="12"/>
              </w:rPr>
              <w:t>000621</w:t>
            </w:r>
          </w:p>
        </w:tc>
        <w:tc>
          <w:tcPr>
            <w:tcW w:w="4015" w:type="dxa"/>
          </w:tcPr>
          <w:p>
            <w:pPr>
              <w:pStyle w:val="TableParagraph"/>
              <w:ind w:left="83"/>
              <w:rPr>
                <w:sz w:val="12"/>
              </w:rPr>
            </w:pPr>
            <w:r>
              <w:rPr>
                <w:w w:val="105"/>
                <w:sz w:val="12"/>
              </w:rPr>
              <w:t>DESCRIÇÃO/ESPECIFICAÇÕES</w:t>
            </w:r>
          </w:p>
          <w:p>
            <w:pPr>
              <w:pStyle w:val="TableParagraph"/>
              <w:spacing w:line="108" w:lineRule="exact" w:before="103"/>
              <w:ind w:left="100"/>
              <w:rPr>
                <w:sz w:val="12"/>
              </w:rPr>
            </w:pPr>
            <w:r>
              <w:rPr>
                <w:sz w:val="12"/>
              </w:rPr>
              <w:t>MASCARA DE PROTECAO DESCARTAVEL - Marca.: VOLK</w:t>
            </w:r>
          </w:p>
        </w:tc>
        <w:tc>
          <w:tcPr>
            <w:tcW w:w="1052" w:type="dxa"/>
          </w:tcPr>
          <w:p>
            <w:pPr>
              <w:pStyle w:val="TableParagraph"/>
              <w:ind w:left="109"/>
              <w:rPr>
                <w:sz w:val="12"/>
              </w:rPr>
            </w:pPr>
            <w:r>
              <w:rPr>
                <w:w w:val="105"/>
                <w:sz w:val="12"/>
              </w:rPr>
              <w:t>UNIDADE</w:t>
            </w:r>
          </w:p>
          <w:p>
            <w:pPr>
              <w:pStyle w:val="TableParagraph"/>
              <w:spacing w:line="108" w:lineRule="exact" w:before="103"/>
              <w:ind w:left="112"/>
              <w:rPr>
                <w:sz w:val="12"/>
              </w:rPr>
            </w:pPr>
            <w:r>
              <w:rPr>
                <w:w w:val="105"/>
                <w:sz w:val="12"/>
              </w:rPr>
              <w:t>UNIDADE</w:t>
            </w:r>
          </w:p>
        </w:tc>
        <w:tc>
          <w:tcPr>
            <w:tcW w:w="1312" w:type="dxa"/>
          </w:tcPr>
          <w:p>
            <w:pPr>
              <w:pStyle w:val="TableParagraph"/>
              <w:ind w:left="410"/>
              <w:rPr>
                <w:sz w:val="12"/>
              </w:rPr>
            </w:pPr>
            <w:r>
              <w:rPr>
                <w:w w:val="105"/>
                <w:sz w:val="12"/>
              </w:rPr>
              <w:t>QUANTIDADE</w:t>
            </w:r>
          </w:p>
          <w:p>
            <w:pPr>
              <w:pStyle w:val="TableParagraph"/>
              <w:spacing w:line="108" w:lineRule="exact" w:before="103"/>
              <w:ind w:left="556"/>
              <w:rPr>
                <w:sz w:val="12"/>
              </w:rPr>
            </w:pPr>
            <w:r>
              <w:rPr>
                <w:w w:val="105"/>
                <w:sz w:val="12"/>
              </w:rPr>
              <w:t>5.483,00</w:t>
            </w:r>
          </w:p>
        </w:tc>
        <w:tc>
          <w:tcPr>
            <w:tcW w:w="1571" w:type="dxa"/>
          </w:tcPr>
          <w:p>
            <w:pPr>
              <w:pStyle w:val="TableParagraph"/>
              <w:ind w:left="147"/>
              <w:rPr>
                <w:sz w:val="12"/>
              </w:rPr>
            </w:pPr>
            <w:r>
              <w:rPr>
                <w:w w:val="105"/>
                <w:sz w:val="12"/>
              </w:rPr>
              <w:t>VALOR</w:t>
            </w:r>
            <w:r>
              <w:rPr>
                <w:spacing w:val="-9"/>
                <w:w w:val="105"/>
                <w:sz w:val="12"/>
              </w:rPr>
              <w:t> </w:t>
            </w:r>
            <w:r>
              <w:rPr>
                <w:w w:val="105"/>
                <w:sz w:val="12"/>
              </w:rPr>
              <w:t>UNITÁRIO</w:t>
            </w:r>
          </w:p>
          <w:p>
            <w:pPr>
              <w:pStyle w:val="TableParagraph"/>
              <w:spacing w:line="108" w:lineRule="exact" w:before="103"/>
              <w:ind w:left="816"/>
              <w:rPr>
                <w:sz w:val="12"/>
              </w:rPr>
            </w:pPr>
            <w:r>
              <w:rPr>
                <w:w w:val="105"/>
                <w:sz w:val="12"/>
              </w:rPr>
              <w:t>5,000</w:t>
            </w:r>
          </w:p>
        </w:tc>
        <w:tc>
          <w:tcPr>
            <w:tcW w:w="1169" w:type="dxa"/>
          </w:tcPr>
          <w:p>
            <w:pPr>
              <w:pStyle w:val="TableParagraph"/>
              <w:ind w:left="75"/>
              <w:rPr>
                <w:sz w:val="12"/>
              </w:rPr>
            </w:pPr>
            <w:r>
              <w:rPr>
                <w:w w:val="105"/>
                <w:sz w:val="12"/>
              </w:rPr>
              <w:t>VALOR</w:t>
            </w:r>
            <w:r>
              <w:rPr>
                <w:spacing w:val="-8"/>
                <w:w w:val="105"/>
                <w:sz w:val="12"/>
              </w:rPr>
              <w:t> </w:t>
            </w:r>
            <w:r>
              <w:rPr>
                <w:w w:val="105"/>
                <w:sz w:val="12"/>
              </w:rPr>
              <w:t>TOTAL</w:t>
            </w:r>
          </w:p>
          <w:p>
            <w:pPr>
              <w:pStyle w:val="TableParagraph"/>
              <w:spacing w:line="108" w:lineRule="exact" w:before="103"/>
              <w:ind w:left="226"/>
              <w:rPr>
                <w:sz w:val="12"/>
              </w:rPr>
            </w:pPr>
            <w:r>
              <w:rPr>
                <w:w w:val="105"/>
                <w:sz w:val="12"/>
              </w:rPr>
              <w:t>27.415,00</w:t>
            </w:r>
          </w:p>
        </w:tc>
      </w:tr>
      <w:tr>
        <w:trPr>
          <w:trHeight w:val="119" w:hRule="atLeast"/>
        </w:trPr>
        <w:tc>
          <w:tcPr>
            <w:tcW w:w="565" w:type="dxa"/>
          </w:tcPr>
          <w:p>
            <w:pPr>
              <w:pStyle w:val="TableParagraph"/>
              <w:spacing w:line="100" w:lineRule="exact"/>
              <w:ind w:left="30" w:right="61"/>
              <w:jc w:val="center"/>
              <w:rPr>
                <w:sz w:val="12"/>
              </w:rPr>
            </w:pPr>
            <w:r>
              <w:rPr>
                <w:sz w:val="12"/>
              </w:rPr>
              <w:t>063597</w:t>
            </w:r>
          </w:p>
        </w:tc>
        <w:tc>
          <w:tcPr>
            <w:tcW w:w="4015" w:type="dxa"/>
          </w:tcPr>
          <w:p>
            <w:pPr>
              <w:pStyle w:val="TableParagraph"/>
              <w:spacing w:line="100" w:lineRule="exact"/>
              <w:ind w:left="97"/>
              <w:rPr>
                <w:sz w:val="12"/>
              </w:rPr>
            </w:pPr>
            <w:r>
              <w:rPr>
                <w:sz w:val="12"/>
              </w:rPr>
              <w:t>LUVA DE PROCEDIMENTO TAM:M CX. C/100UNID. - Marca.:</w:t>
            </w:r>
          </w:p>
        </w:tc>
        <w:tc>
          <w:tcPr>
            <w:tcW w:w="1052" w:type="dxa"/>
          </w:tcPr>
          <w:p>
            <w:pPr>
              <w:pStyle w:val="TableParagraph"/>
              <w:spacing w:line="100" w:lineRule="exact"/>
              <w:ind w:left="113"/>
              <w:rPr>
                <w:sz w:val="12"/>
              </w:rPr>
            </w:pPr>
            <w:r>
              <w:rPr>
                <w:w w:val="105"/>
                <w:sz w:val="12"/>
              </w:rPr>
              <w:t>CAIXA</w:t>
            </w:r>
          </w:p>
        </w:tc>
        <w:tc>
          <w:tcPr>
            <w:tcW w:w="1312" w:type="dxa"/>
          </w:tcPr>
          <w:p>
            <w:pPr>
              <w:pStyle w:val="TableParagraph"/>
              <w:spacing w:line="100" w:lineRule="exact"/>
              <w:ind w:right="153"/>
              <w:jc w:val="right"/>
              <w:rPr>
                <w:sz w:val="12"/>
              </w:rPr>
            </w:pPr>
            <w:r>
              <w:rPr>
                <w:sz w:val="12"/>
              </w:rPr>
              <w:t>40,00</w:t>
            </w:r>
          </w:p>
        </w:tc>
        <w:tc>
          <w:tcPr>
            <w:tcW w:w="1571" w:type="dxa"/>
          </w:tcPr>
          <w:p>
            <w:pPr>
              <w:pStyle w:val="TableParagraph"/>
              <w:spacing w:line="100" w:lineRule="exact"/>
              <w:ind w:left="742"/>
              <w:rPr>
                <w:sz w:val="12"/>
              </w:rPr>
            </w:pPr>
            <w:r>
              <w:rPr>
                <w:w w:val="105"/>
                <w:sz w:val="12"/>
              </w:rPr>
              <w:t>48,000</w:t>
            </w:r>
          </w:p>
        </w:tc>
        <w:tc>
          <w:tcPr>
            <w:tcW w:w="1169" w:type="dxa"/>
          </w:tcPr>
          <w:p>
            <w:pPr>
              <w:pStyle w:val="TableParagraph"/>
              <w:spacing w:line="100" w:lineRule="exact"/>
              <w:ind w:left="298"/>
              <w:rPr>
                <w:sz w:val="12"/>
              </w:rPr>
            </w:pPr>
            <w:r>
              <w:rPr>
                <w:w w:val="105"/>
                <w:sz w:val="12"/>
              </w:rPr>
              <w:t>1.920,00</w:t>
            </w:r>
          </w:p>
        </w:tc>
      </w:tr>
      <w:tr>
        <w:trPr>
          <w:trHeight w:val="299" w:hRule="atLeast"/>
        </w:trPr>
        <w:tc>
          <w:tcPr>
            <w:tcW w:w="565" w:type="dxa"/>
          </w:tcPr>
          <w:p>
            <w:pPr>
              <w:pStyle w:val="TableParagraph"/>
              <w:spacing w:before="112"/>
              <w:ind w:left="30" w:right="61"/>
              <w:jc w:val="center"/>
              <w:rPr>
                <w:sz w:val="12"/>
              </w:rPr>
            </w:pPr>
            <w:r>
              <w:rPr>
                <w:sz w:val="12"/>
              </w:rPr>
              <w:t>096379</w:t>
            </w:r>
          </w:p>
        </w:tc>
        <w:tc>
          <w:tcPr>
            <w:tcW w:w="4015" w:type="dxa"/>
          </w:tcPr>
          <w:p>
            <w:pPr>
              <w:pStyle w:val="TableParagraph"/>
              <w:spacing w:line="120" w:lineRule="exact"/>
              <w:ind w:left="82"/>
              <w:rPr>
                <w:sz w:val="12"/>
              </w:rPr>
            </w:pPr>
            <w:r>
              <w:rPr>
                <w:w w:val="105"/>
                <w:sz w:val="12"/>
              </w:rPr>
              <w:t>VOLK</w:t>
            </w:r>
          </w:p>
          <w:p>
            <w:pPr>
              <w:pStyle w:val="TableParagraph"/>
              <w:spacing w:line="128" w:lineRule="exact"/>
              <w:ind w:left="104"/>
              <w:rPr>
                <w:sz w:val="12"/>
              </w:rPr>
            </w:pPr>
            <w:r>
              <w:rPr>
                <w:sz w:val="12"/>
              </w:rPr>
              <w:t>TOUCAS DESCARTAVEIS - Marca.: VIMED</w:t>
            </w:r>
          </w:p>
        </w:tc>
        <w:tc>
          <w:tcPr>
            <w:tcW w:w="1052" w:type="dxa"/>
          </w:tcPr>
          <w:p>
            <w:pPr>
              <w:pStyle w:val="TableParagraph"/>
              <w:spacing w:before="112"/>
              <w:ind w:left="111"/>
              <w:rPr>
                <w:sz w:val="12"/>
              </w:rPr>
            </w:pPr>
            <w:r>
              <w:rPr>
                <w:w w:val="105"/>
                <w:sz w:val="12"/>
              </w:rPr>
              <w:t>UNIDADE</w:t>
            </w:r>
          </w:p>
        </w:tc>
        <w:tc>
          <w:tcPr>
            <w:tcW w:w="1312" w:type="dxa"/>
          </w:tcPr>
          <w:p>
            <w:pPr>
              <w:pStyle w:val="TableParagraph"/>
              <w:spacing w:before="112"/>
              <w:ind w:right="155"/>
              <w:jc w:val="right"/>
              <w:rPr>
                <w:sz w:val="12"/>
              </w:rPr>
            </w:pPr>
            <w:r>
              <w:rPr>
                <w:sz w:val="12"/>
              </w:rPr>
              <w:t>3.000,00</w:t>
            </w:r>
          </w:p>
        </w:tc>
        <w:tc>
          <w:tcPr>
            <w:tcW w:w="1571" w:type="dxa"/>
          </w:tcPr>
          <w:p>
            <w:pPr>
              <w:pStyle w:val="TableParagraph"/>
              <w:spacing w:before="112"/>
              <w:ind w:left="820"/>
              <w:rPr>
                <w:sz w:val="12"/>
              </w:rPr>
            </w:pPr>
            <w:r>
              <w:rPr>
                <w:w w:val="105"/>
                <w:sz w:val="12"/>
              </w:rPr>
              <w:t>0,220</w:t>
            </w:r>
          </w:p>
        </w:tc>
        <w:tc>
          <w:tcPr>
            <w:tcW w:w="1169" w:type="dxa"/>
          </w:tcPr>
          <w:p>
            <w:pPr>
              <w:pStyle w:val="TableParagraph"/>
              <w:spacing w:before="112"/>
              <w:ind w:left="447"/>
              <w:rPr>
                <w:sz w:val="12"/>
              </w:rPr>
            </w:pPr>
            <w:r>
              <w:rPr>
                <w:w w:val="105"/>
                <w:sz w:val="12"/>
              </w:rPr>
              <w:t>660,00</w:t>
            </w:r>
          </w:p>
        </w:tc>
      </w:tr>
      <w:tr>
        <w:trPr>
          <w:trHeight w:val="187" w:hRule="atLeast"/>
        </w:trPr>
        <w:tc>
          <w:tcPr>
            <w:tcW w:w="565" w:type="dxa"/>
          </w:tcPr>
          <w:p>
            <w:pPr>
              <w:pStyle w:val="TableParagraph"/>
              <w:rPr>
                <w:rFonts w:ascii="Times New Roman"/>
                <w:sz w:val="12"/>
              </w:rPr>
            </w:pPr>
          </w:p>
        </w:tc>
        <w:tc>
          <w:tcPr>
            <w:tcW w:w="4015" w:type="dxa"/>
          </w:tcPr>
          <w:p>
            <w:pPr>
              <w:pStyle w:val="TableParagraph"/>
              <w:rPr>
                <w:rFonts w:ascii="Times New Roman"/>
                <w:sz w:val="12"/>
              </w:rPr>
            </w:pPr>
          </w:p>
        </w:tc>
        <w:tc>
          <w:tcPr>
            <w:tcW w:w="1052" w:type="dxa"/>
          </w:tcPr>
          <w:p>
            <w:pPr>
              <w:pStyle w:val="TableParagraph"/>
              <w:rPr>
                <w:rFonts w:ascii="Times New Roman"/>
                <w:sz w:val="12"/>
              </w:rPr>
            </w:pPr>
          </w:p>
        </w:tc>
        <w:tc>
          <w:tcPr>
            <w:tcW w:w="1312" w:type="dxa"/>
          </w:tcPr>
          <w:p>
            <w:pPr>
              <w:pStyle w:val="TableParagraph"/>
              <w:rPr>
                <w:rFonts w:ascii="Times New Roman"/>
                <w:sz w:val="12"/>
              </w:rPr>
            </w:pPr>
          </w:p>
        </w:tc>
        <w:tc>
          <w:tcPr>
            <w:tcW w:w="1571" w:type="dxa"/>
          </w:tcPr>
          <w:p>
            <w:pPr>
              <w:pStyle w:val="TableParagraph"/>
              <w:spacing w:line="116" w:lineRule="exact" w:before="52"/>
              <w:ind w:left="367"/>
              <w:rPr>
                <w:sz w:val="12"/>
              </w:rPr>
            </w:pPr>
            <w:r>
              <w:rPr>
                <w:w w:val="105"/>
                <w:sz w:val="12"/>
              </w:rPr>
              <w:t>VALOR GLOBAL R$</w:t>
            </w:r>
          </w:p>
        </w:tc>
        <w:tc>
          <w:tcPr>
            <w:tcW w:w="1169" w:type="dxa"/>
          </w:tcPr>
          <w:p>
            <w:pPr>
              <w:pStyle w:val="TableParagraph"/>
              <w:spacing w:line="116" w:lineRule="exact" w:before="52"/>
              <w:ind w:left="441"/>
              <w:rPr>
                <w:sz w:val="12"/>
              </w:rPr>
            </w:pPr>
            <w:r>
              <w:rPr>
                <w:w w:val="105"/>
                <w:sz w:val="12"/>
              </w:rPr>
              <w:t>29.995,00</w:t>
            </w:r>
          </w:p>
        </w:tc>
      </w:tr>
    </w:tbl>
    <w:p>
      <w:pPr>
        <w:pStyle w:val="BodyText"/>
        <w:rPr>
          <w:sz w:val="24"/>
        </w:rPr>
      </w:pPr>
    </w:p>
    <w:p>
      <w:pPr>
        <w:pStyle w:val="BodyText"/>
        <w:spacing w:before="6"/>
        <w:rPr>
          <w:sz w:val="30"/>
        </w:rPr>
      </w:pPr>
    </w:p>
    <w:p>
      <w:pPr>
        <w:pStyle w:val="Heading1"/>
        <w:spacing w:before="1"/>
      </w:pPr>
      <w:r>
        <w:rPr/>
        <w:t>CLÁUSULA SEGUNDA - DA FUNDAMENTAÇÃO LEGAL</w:t>
      </w:r>
    </w:p>
    <w:p>
      <w:pPr>
        <w:pStyle w:val="BodyText"/>
        <w:rPr>
          <w:b/>
          <w:sz w:val="21"/>
        </w:rPr>
      </w:pPr>
    </w:p>
    <w:p>
      <w:pPr>
        <w:pStyle w:val="BodyText"/>
        <w:ind w:left="169"/>
      </w:pPr>
      <w:r>
        <w:rPr/>
        <w:t>2.1 - Este contrato fundamenta-se no da Lei nº 8.666/93, de 21 de junho de 1993, e suas posteriores alterações.</w:t>
      </w:r>
    </w:p>
    <w:p>
      <w:pPr>
        <w:pStyle w:val="BodyText"/>
        <w:rPr>
          <w:sz w:val="24"/>
        </w:rPr>
      </w:pPr>
    </w:p>
    <w:p>
      <w:pPr>
        <w:pStyle w:val="BodyText"/>
        <w:spacing w:before="8"/>
        <w:rPr>
          <w:sz w:val="21"/>
        </w:rPr>
      </w:pPr>
    </w:p>
    <w:p>
      <w:pPr>
        <w:pStyle w:val="Heading1"/>
        <w:tabs>
          <w:tab w:pos="1626" w:val="left" w:leader="none"/>
          <w:tab w:pos="3030" w:val="left" w:leader="none"/>
        </w:tabs>
        <w:ind w:right="300"/>
      </w:pPr>
      <w:r>
        <w:rPr/>
        <w:t>CLÁUSULA</w:t>
        <w:tab/>
        <w:t>TERCEIRA</w:t>
        <w:tab/>
        <w:t>- DOS ENCARGOS, OBRIGAÇÕES E RESPONSABILIDADES </w:t>
      </w:r>
      <w:r>
        <w:rPr>
          <w:spacing w:val="-9"/>
        </w:rPr>
        <w:t>DA </w:t>
      </w:r>
      <w:r>
        <w:rPr/>
        <w:t>CONTRATADA</w:t>
      </w:r>
    </w:p>
    <w:p>
      <w:pPr>
        <w:pStyle w:val="BodyText"/>
        <w:spacing w:before="2"/>
        <w:rPr>
          <w:b/>
          <w:sz w:val="21"/>
        </w:rPr>
      </w:pPr>
    </w:p>
    <w:p>
      <w:pPr>
        <w:pStyle w:val="ListParagraph"/>
        <w:numPr>
          <w:ilvl w:val="1"/>
          <w:numId w:val="1"/>
        </w:numPr>
        <w:tabs>
          <w:tab w:pos="558" w:val="left" w:leader="none"/>
        </w:tabs>
        <w:spacing w:line="240" w:lineRule="auto" w:before="0" w:after="0"/>
        <w:ind w:left="557" w:right="0" w:hanging="389"/>
        <w:jc w:val="left"/>
        <w:rPr>
          <w:sz w:val="22"/>
        </w:rPr>
      </w:pPr>
      <w:r>
        <w:rPr>
          <w:sz w:val="22"/>
        </w:rPr>
        <w:t>Executar o objeto deste contrato de acordo com as condições e prazos estabelecidas neste termo</w:t>
      </w:r>
      <w:r>
        <w:rPr>
          <w:spacing w:val="33"/>
          <w:sz w:val="22"/>
        </w:rPr>
        <w:t> </w:t>
      </w:r>
      <w:r>
        <w:rPr>
          <w:sz w:val="22"/>
        </w:rPr>
        <w:t>contratual;</w:t>
      </w:r>
    </w:p>
    <w:p>
      <w:pPr>
        <w:pStyle w:val="BodyText"/>
        <w:spacing w:before="4"/>
      </w:pPr>
    </w:p>
    <w:p>
      <w:pPr>
        <w:pStyle w:val="ListParagraph"/>
        <w:numPr>
          <w:ilvl w:val="1"/>
          <w:numId w:val="1"/>
        </w:numPr>
        <w:tabs>
          <w:tab w:pos="558" w:val="left" w:leader="none"/>
        </w:tabs>
        <w:spacing w:line="240" w:lineRule="auto" w:before="0" w:after="0"/>
        <w:ind w:left="169" w:right="158" w:firstLine="0"/>
        <w:jc w:val="left"/>
        <w:rPr>
          <w:sz w:val="22"/>
        </w:rPr>
      </w:pPr>
      <w:r>
        <w:rPr>
          <w:sz w:val="22"/>
        </w:rPr>
        <w:t>Assumir a responsabilidade por quaisquer danos ou prejuízos causados ao patrimônio do CONTRATANTE ou </w:t>
      </w:r>
      <w:r>
        <w:rPr>
          <w:spacing w:val="-11"/>
          <w:sz w:val="22"/>
        </w:rPr>
        <w:t>a </w:t>
      </w:r>
      <w:r>
        <w:rPr>
          <w:sz w:val="22"/>
        </w:rPr>
        <w:t>terceiros, quando no desempenho de suas atividades profissionais, objeto deste</w:t>
      </w:r>
      <w:r>
        <w:rPr>
          <w:spacing w:val="-20"/>
          <w:sz w:val="22"/>
        </w:rPr>
        <w:t> </w:t>
      </w:r>
      <w:r>
        <w:rPr>
          <w:sz w:val="22"/>
        </w:rPr>
        <w:t>contrato;</w:t>
      </w:r>
    </w:p>
    <w:p>
      <w:pPr>
        <w:pStyle w:val="BodyText"/>
        <w:spacing w:before="5"/>
      </w:pPr>
    </w:p>
    <w:p>
      <w:pPr>
        <w:pStyle w:val="ListParagraph"/>
        <w:numPr>
          <w:ilvl w:val="1"/>
          <w:numId w:val="1"/>
        </w:numPr>
        <w:tabs>
          <w:tab w:pos="717" w:val="left" w:leader="none"/>
        </w:tabs>
        <w:spacing w:line="240" w:lineRule="auto" w:before="0" w:after="0"/>
        <w:ind w:left="169" w:right="195" w:firstLine="0"/>
        <w:jc w:val="both"/>
        <w:rPr>
          <w:sz w:val="22"/>
        </w:rPr>
      </w:pPr>
      <w:r>
        <w:rPr>
          <w:sz w:val="22"/>
        </w:rPr>
        <w:t>Encaminhar para o Setor Financeiro da(o) FUNDO MUNICIPAL DE SAUDE as notas de empenhos </w:t>
      </w:r>
      <w:r>
        <w:rPr>
          <w:spacing w:val="-12"/>
          <w:sz w:val="22"/>
        </w:rPr>
        <w:t>e </w:t>
      </w:r>
      <w:r>
        <w:rPr>
          <w:sz w:val="22"/>
        </w:rPr>
        <w:t>respectivas notas fiscais/faturas concernentes ao objeto</w:t>
      </w:r>
      <w:r>
        <w:rPr>
          <w:spacing w:val="2"/>
          <w:sz w:val="22"/>
        </w:rPr>
        <w:t> </w:t>
      </w:r>
      <w:r>
        <w:rPr>
          <w:sz w:val="22"/>
        </w:rPr>
        <w:t>contratual;</w:t>
      </w:r>
    </w:p>
    <w:p>
      <w:pPr>
        <w:pStyle w:val="BodyText"/>
        <w:spacing w:before="6"/>
      </w:pPr>
    </w:p>
    <w:p>
      <w:pPr>
        <w:pStyle w:val="ListParagraph"/>
        <w:numPr>
          <w:ilvl w:val="1"/>
          <w:numId w:val="1"/>
        </w:numPr>
        <w:tabs>
          <w:tab w:pos="563" w:val="left" w:leader="none"/>
        </w:tabs>
        <w:spacing w:line="240" w:lineRule="auto" w:before="0" w:after="0"/>
        <w:ind w:left="169" w:right="163" w:firstLine="0"/>
        <w:jc w:val="both"/>
        <w:rPr>
          <w:sz w:val="22"/>
        </w:rPr>
      </w:pPr>
      <w:r>
        <w:rPr>
          <w:sz w:val="22"/>
        </w:rPr>
        <w:t>Assumir integralmente a responsabilidade por todo o ônus </w:t>
      </w:r>
      <w:r>
        <w:rPr>
          <w:spacing w:val="-7"/>
          <w:sz w:val="22"/>
        </w:rPr>
        <w:t>decorrente </w:t>
      </w:r>
      <w:r>
        <w:rPr>
          <w:sz w:val="22"/>
        </w:rPr>
        <w:t>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w:t>
      </w:r>
      <w:r>
        <w:rPr>
          <w:spacing w:val="1"/>
          <w:sz w:val="22"/>
        </w:rPr>
        <w:t> </w:t>
      </w:r>
      <w:r>
        <w:rPr>
          <w:sz w:val="22"/>
        </w:rPr>
        <w:t>CONTRATADA;</w:t>
      </w:r>
    </w:p>
    <w:p>
      <w:pPr>
        <w:spacing w:after="0" w:line="240" w:lineRule="auto"/>
        <w:jc w:val="both"/>
        <w:rPr>
          <w:sz w:val="22"/>
        </w:rPr>
        <w:sectPr>
          <w:headerReference w:type="default" r:id="rId5"/>
          <w:footerReference w:type="default" r:id="rId6"/>
          <w:type w:val="continuous"/>
          <w:pgSz w:w="11900" w:h="16840"/>
          <w:pgMar w:header="696" w:footer="1755" w:top="1980" w:bottom="1940" w:left="520" w:right="600"/>
        </w:sectPr>
      </w:pPr>
    </w:p>
    <w:p>
      <w:pPr>
        <w:pStyle w:val="BodyText"/>
        <w:rPr>
          <w:sz w:val="20"/>
        </w:rPr>
      </w:pPr>
    </w:p>
    <w:p>
      <w:pPr>
        <w:pStyle w:val="BodyText"/>
        <w:rPr>
          <w:sz w:val="20"/>
        </w:rPr>
      </w:pPr>
    </w:p>
    <w:p>
      <w:pPr>
        <w:pStyle w:val="BodyText"/>
        <w:spacing w:before="3"/>
        <w:rPr>
          <w:sz w:val="17"/>
        </w:rPr>
      </w:pPr>
    </w:p>
    <w:p>
      <w:pPr>
        <w:pStyle w:val="ListParagraph"/>
        <w:numPr>
          <w:ilvl w:val="1"/>
          <w:numId w:val="1"/>
        </w:numPr>
        <w:tabs>
          <w:tab w:pos="606" w:val="left" w:leader="none"/>
        </w:tabs>
        <w:spacing w:line="240" w:lineRule="auto" w:before="95" w:after="0"/>
        <w:ind w:left="169" w:right="193" w:firstLine="0"/>
        <w:jc w:val="both"/>
        <w:rPr>
          <w:sz w:val="22"/>
        </w:rPr>
      </w:pPr>
      <w:r>
        <w:rPr>
          <w:sz w:val="22"/>
        </w:rPr>
        <w:t>Manter, durante toda a execução do contrato, em compatibilidade com as obrigações assumidas, todas as condições de habilitação e qualificação exigidas na realização deste</w:t>
      </w:r>
      <w:r>
        <w:rPr>
          <w:spacing w:val="-13"/>
          <w:sz w:val="22"/>
        </w:rPr>
        <w:t> </w:t>
      </w:r>
      <w:r>
        <w:rPr>
          <w:sz w:val="22"/>
        </w:rPr>
        <w:t>Contrato.</w:t>
      </w:r>
    </w:p>
    <w:p>
      <w:pPr>
        <w:pStyle w:val="BodyText"/>
        <w:spacing w:before="5"/>
      </w:pPr>
    </w:p>
    <w:p>
      <w:pPr>
        <w:pStyle w:val="ListParagraph"/>
        <w:numPr>
          <w:ilvl w:val="1"/>
          <w:numId w:val="1"/>
        </w:numPr>
        <w:tabs>
          <w:tab w:pos="556" w:val="left" w:leader="none"/>
        </w:tabs>
        <w:spacing w:line="240" w:lineRule="auto" w:before="0" w:after="0"/>
        <w:ind w:left="555" w:right="0" w:hanging="387"/>
        <w:jc w:val="both"/>
        <w:rPr>
          <w:sz w:val="22"/>
        </w:rPr>
      </w:pPr>
      <w:r>
        <w:rPr>
          <w:sz w:val="22"/>
        </w:rPr>
        <w:t>Providenciar a imediata correção das deficiências e ou irregularidades apontadas pela</w:t>
      </w:r>
      <w:r>
        <w:rPr>
          <w:spacing w:val="-1"/>
          <w:sz w:val="22"/>
        </w:rPr>
        <w:t> </w:t>
      </w:r>
      <w:r>
        <w:rPr>
          <w:sz w:val="22"/>
        </w:rPr>
        <w:t>Contratante;</w:t>
      </w:r>
    </w:p>
    <w:p>
      <w:pPr>
        <w:pStyle w:val="BodyText"/>
        <w:spacing w:before="4"/>
      </w:pPr>
    </w:p>
    <w:p>
      <w:pPr>
        <w:pStyle w:val="ListParagraph"/>
        <w:numPr>
          <w:ilvl w:val="1"/>
          <w:numId w:val="1"/>
        </w:numPr>
        <w:tabs>
          <w:tab w:pos="568" w:val="left" w:leader="none"/>
        </w:tabs>
        <w:spacing w:line="240" w:lineRule="auto" w:before="0" w:after="0"/>
        <w:ind w:left="169" w:right="127" w:firstLine="0"/>
        <w:jc w:val="both"/>
        <w:rPr>
          <w:sz w:val="22"/>
        </w:rPr>
      </w:pPr>
      <w:r>
        <w:rPr>
          <w:sz w:val="22"/>
        </w:rPr>
        <w:t>Aceitar nas mesmas condições contratuais os acréscimos e supressões até o limite fixado no § 1º, do art. 65, da Lei nº 8.666/93 e suas alterações posteriores.</w:t>
      </w:r>
    </w:p>
    <w:p>
      <w:pPr>
        <w:pStyle w:val="BodyText"/>
        <w:rPr>
          <w:sz w:val="24"/>
        </w:rPr>
      </w:pPr>
    </w:p>
    <w:p>
      <w:pPr>
        <w:pStyle w:val="BodyText"/>
        <w:spacing w:before="10"/>
        <w:rPr>
          <w:sz w:val="21"/>
        </w:rPr>
      </w:pPr>
    </w:p>
    <w:p>
      <w:pPr>
        <w:pStyle w:val="Heading1"/>
        <w:spacing w:before="1"/>
      </w:pPr>
      <w:r>
        <w:rPr/>
        <w:t>CLÁUSULA QUARTA - DAS RESPONSABILIDADES DO CONTRATANTE</w:t>
      </w:r>
    </w:p>
    <w:p>
      <w:pPr>
        <w:pStyle w:val="BodyText"/>
        <w:spacing w:before="11"/>
        <w:rPr>
          <w:b/>
          <w:sz w:val="20"/>
        </w:rPr>
      </w:pPr>
    </w:p>
    <w:p>
      <w:pPr>
        <w:pStyle w:val="ListParagraph"/>
        <w:numPr>
          <w:ilvl w:val="1"/>
          <w:numId w:val="2"/>
        </w:numPr>
        <w:tabs>
          <w:tab w:pos="572" w:val="left" w:leader="none"/>
        </w:tabs>
        <w:spacing w:line="240" w:lineRule="auto" w:before="0" w:after="0"/>
        <w:ind w:left="169" w:right="140"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5"/>
      </w:pPr>
    </w:p>
    <w:p>
      <w:pPr>
        <w:pStyle w:val="ListParagraph"/>
        <w:numPr>
          <w:ilvl w:val="1"/>
          <w:numId w:val="2"/>
        </w:numPr>
        <w:tabs>
          <w:tab w:pos="555" w:val="left" w:leader="none"/>
        </w:tabs>
        <w:spacing w:line="240" w:lineRule="auto" w:before="1" w:after="0"/>
        <w:ind w:left="554" w:right="0" w:hanging="386"/>
        <w:jc w:val="both"/>
        <w:rPr>
          <w:sz w:val="22"/>
        </w:rPr>
      </w:pPr>
      <w:r>
        <w:rPr>
          <w:sz w:val="22"/>
        </w:rPr>
        <w:t>Fiscalizar e acompanhar a execução do objeto</w:t>
      </w:r>
      <w:r>
        <w:rPr>
          <w:spacing w:val="-4"/>
          <w:sz w:val="22"/>
        </w:rPr>
        <w:t> </w:t>
      </w:r>
      <w:r>
        <w:rPr>
          <w:sz w:val="22"/>
        </w:rPr>
        <w:t>contratual;</w:t>
      </w:r>
    </w:p>
    <w:p>
      <w:pPr>
        <w:pStyle w:val="BodyText"/>
        <w:spacing w:before="3"/>
      </w:pPr>
    </w:p>
    <w:p>
      <w:pPr>
        <w:pStyle w:val="ListParagraph"/>
        <w:numPr>
          <w:ilvl w:val="1"/>
          <w:numId w:val="2"/>
        </w:numPr>
        <w:tabs>
          <w:tab w:pos="630" w:val="left" w:leader="none"/>
        </w:tabs>
        <w:spacing w:line="240" w:lineRule="auto" w:before="0" w:after="0"/>
        <w:ind w:left="169" w:right="21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5"/>
      </w:pPr>
    </w:p>
    <w:p>
      <w:pPr>
        <w:pStyle w:val="ListParagraph"/>
        <w:numPr>
          <w:ilvl w:val="1"/>
          <w:numId w:val="2"/>
        </w:numPr>
        <w:tabs>
          <w:tab w:pos="585" w:val="left" w:leader="none"/>
        </w:tabs>
        <w:spacing w:line="240" w:lineRule="auto" w:before="1" w:after="0"/>
        <w:ind w:left="169" w:right="16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spacing w:before="10"/>
        <w:rPr>
          <w:sz w:val="21"/>
        </w:rPr>
      </w:pPr>
    </w:p>
    <w:p>
      <w:pPr>
        <w:pStyle w:val="Heading1"/>
      </w:pPr>
      <w:r>
        <w:rPr/>
        <w:t>CLÁUSULA  QUINTA  - DA</w:t>
      </w:r>
      <w:r>
        <w:rPr>
          <w:spacing w:val="1"/>
        </w:rPr>
        <w:t> </w:t>
      </w:r>
      <w:r>
        <w:rPr/>
        <w:t>VIGÊNCIA</w:t>
      </w:r>
    </w:p>
    <w:p>
      <w:pPr>
        <w:pStyle w:val="BodyText"/>
        <w:rPr>
          <w:b/>
          <w:sz w:val="21"/>
        </w:rPr>
      </w:pPr>
    </w:p>
    <w:p>
      <w:pPr>
        <w:pStyle w:val="BodyText"/>
        <w:ind w:left="169" w:right="160"/>
        <w:jc w:val="both"/>
      </w:pPr>
      <w:r>
        <w:rPr/>
        <w:t>5.1 - A vigência deste instrumento contratual iniciará em 20 de Maio de2020 extinguindo-se em 15 de Junho de 2020, podendo ser prorrogado de acordo com a</w:t>
      </w:r>
      <w:r>
        <w:rPr>
          <w:spacing w:val="-8"/>
        </w:rPr>
        <w:t> </w:t>
      </w:r>
      <w:r>
        <w:rPr/>
        <w:t>lei.</w:t>
      </w:r>
    </w:p>
    <w:p>
      <w:pPr>
        <w:pStyle w:val="BodyText"/>
        <w:rPr>
          <w:sz w:val="24"/>
        </w:rPr>
      </w:pPr>
    </w:p>
    <w:p>
      <w:pPr>
        <w:pStyle w:val="BodyText"/>
        <w:spacing w:before="11"/>
        <w:rPr>
          <w:sz w:val="21"/>
        </w:rPr>
      </w:pPr>
    </w:p>
    <w:p>
      <w:pPr>
        <w:pStyle w:val="Heading1"/>
      </w:pPr>
      <w:r>
        <w:rPr/>
        <w:t>CLÁUSULA SEXTA - DA RESCISÃO</w:t>
      </w:r>
    </w:p>
    <w:p>
      <w:pPr>
        <w:pStyle w:val="BodyText"/>
        <w:rPr>
          <w:b/>
          <w:sz w:val="21"/>
        </w:rPr>
      </w:pPr>
    </w:p>
    <w:p>
      <w:pPr>
        <w:pStyle w:val="BodyText"/>
        <w:ind w:left="169" w:right="157"/>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pStyle w:val="BodyText"/>
        <w:rPr>
          <w:sz w:val="24"/>
        </w:rPr>
      </w:pPr>
    </w:p>
    <w:p>
      <w:pPr>
        <w:pStyle w:val="BodyText"/>
        <w:spacing w:before="1"/>
      </w:pPr>
    </w:p>
    <w:p>
      <w:pPr>
        <w:pStyle w:val="Heading1"/>
      </w:pPr>
      <w:r>
        <w:rPr/>
        <w:t>CLÁUSULA SÉTIMA - DAS PENALIDADES</w:t>
      </w:r>
    </w:p>
    <w:p>
      <w:pPr>
        <w:pStyle w:val="BodyText"/>
        <w:rPr>
          <w:b/>
          <w:sz w:val="21"/>
        </w:rPr>
      </w:pPr>
    </w:p>
    <w:p>
      <w:pPr>
        <w:pStyle w:val="ListParagraph"/>
        <w:numPr>
          <w:ilvl w:val="1"/>
          <w:numId w:val="3"/>
        </w:numPr>
        <w:tabs>
          <w:tab w:pos="563" w:val="left" w:leader="none"/>
        </w:tabs>
        <w:spacing w:line="240" w:lineRule="auto" w:before="0" w:after="0"/>
        <w:ind w:left="169" w:right="16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pStyle w:val="BodyText"/>
        <w:spacing w:before="7"/>
      </w:pPr>
    </w:p>
    <w:p>
      <w:pPr>
        <w:pStyle w:val="ListParagraph"/>
        <w:numPr>
          <w:ilvl w:val="2"/>
          <w:numId w:val="3"/>
        </w:numPr>
        <w:tabs>
          <w:tab w:pos="1185" w:val="left" w:leader="none"/>
          <w:tab w:pos="1186" w:val="left" w:leader="none"/>
        </w:tabs>
        <w:spacing w:line="240" w:lineRule="auto" w:before="0" w:after="0"/>
        <w:ind w:left="1185" w:right="0" w:hanging="298"/>
        <w:jc w:val="left"/>
        <w:rPr>
          <w:sz w:val="22"/>
        </w:rPr>
      </w:pPr>
      <w:r>
        <w:rPr>
          <w:sz w:val="22"/>
        </w:rPr>
        <w:t>Advertência;</w:t>
      </w:r>
    </w:p>
    <w:p>
      <w:pPr>
        <w:pStyle w:val="ListParagraph"/>
        <w:numPr>
          <w:ilvl w:val="2"/>
          <w:numId w:val="3"/>
        </w:numPr>
        <w:tabs>
          <w:tab w:pos="1183" w:val="left" w:leader="none"/>
          <w:tab w:pos="1184" w:val="left" w:leader="none"/>
        </w:tabs>
        <w:spacing w:line="240" w:lineRule="auto" w:before="2" w:after="0"/>
        <w:ind w:left="1183" w:right="0" w:hanging="296"/>
        <w:jc w:val="left"/>
        <w:rPr>
          <w:sz w:val="22"/>
        </w:rPr>
      </w:pPr>
      <w:r>
        <w:rPr>
          <w:sz w:val="22"/>
        </w:rPr>
        <w:t>Multa;</w:t>
      </w:r>
    </w:p>
    <w:p>
      <w:pPr>
        <w:pStyle w:val="ListParagraph"/>
        <w:numPr>
          <w:ilvl w:val="2"/>
          <w:numId w:val="3"/>
        </w:numPr>
        <w:tabs>
          <w:tab w:pos="1187" w:val="left" w:leader="none"/>
          <w:tab w:pos="1188" w:val="left" w:leader="none"/>
        </w:tabs>
        <w:spacing w:line="240" w:lineRule="auto" w:before="2" w:after="0"/>
        <w:ind w:left="169" w:right="163" w:firstLine="719"/>
        <w:jc w:val="left"/>
        <w:rPr>
          <w:sz w:val="22"/>
        </w:rPr>
      </w:pPr>
      <w:r>
        <w:rPr>
          <w:sz w:val="22"/>
        </w:rPr>
        <w:t>Suspensão temporária de participações em licitações promovidas com o CONTRATANTE, impedimento de contratar com o mesmo, por prazo não superior a 02 (dois)</w:t>
      </w:r>
      <w:r>
        <w:rPr>
          <w:spacing w:val="-13"/>
          <w:sz w:val="22"/>
        </w:rPr>
        <w:t> </w:t>
      </w:r>
      <w:r>
        <w:rPr>
          <w:sz w:val="22"/>
        </w:rPr>
        <w:t>anos;</w:t>
      </w:r>
    </w:p>
    <w:p>
      <w:pPr>
        <w:spacing w:after="0" w:line="240" w:lineRule="auto"/>
        <w:jc w:val="left"/>
        <w:rPr>
          <w:sz w:val="22"/>
        </w:rPr>
        <w:sectPr>
          <w:pgSz w:w="11900" w:h="16840"/>
          <w:pgMar w:header="696" w:footer="1755" w:top="1980" w:bottom="1940" w:left="520" w:right="600"/>
        </w:sectPr>
      </w:pPr>
    </w:p>
    <w:p>
      <w:pPr>
        <w:pStyle w:val="BodyText"/>
        <w:rPr>
          <w:sz w:val="20"/>
        </w:rPr>
      </w:pPr>
    </w:p>
    <w:p>
      <w:pPr>
        <w:pStyle w:val="BodyText"/>
        <w:spacing w:before="4"/>
        <w:rPr>
          <w:sz w:val="23"/>
        </w:rPr>
      </w:pPr>
    </w:p>
    <w:p>
      <w:pPr>
        <w:pStyle w:val="ListParagraph"/>
        <w:numPr>
          <w:ilvl w:val="2"/>
          <w:numId w:val="3"/>
        </w:numPr>
        <w:tabs>
          <w:tab w:pos="1183" w:val="left" w:leader="none"/>
          <w:tab w:pos="1184" w:val="left" w:leader="none"/>
        </w:tabs>
        <w:spacing w:line="240" w:lineRule="auto" w:before="0" w:after="0"/>
        <w:ind w:left="169" w:right="15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5"/>
      </w:pPr>
    </w:p>
    <w:p>
      <w:pPr>
        <w:pStyle w:val="ListParagraph"/>
        <w:numPr>
          <w:ilvl w:val="1"/>
          <w:numId w:val="3"/>
        </w:numPr>
        <w:tabs>
          <w:tab w:pos="556" w:val="left" w:leader="none"/>
        </w:tabs>
        <w:spacing w:line="240" w:lineRule="auto" w:before="1" w:after="0"/>
        <w:ind w:left="555" w:right="0" w:hanging="387"/>
        <w:jc w:val="both"/>
        <w:rPr>
          <w:sz w:val="22"/>
        </w:rPr>
      </w:pPr>
      <w:r>
        <w:rPr>
          <w:sz w:val="22"/>
        </w:rPr>
        <w:t>A multa prevista acima será a seguinte:</w:t>
      </w:r>
    </w:p>
    <w:p>
      <w:pPr>
        <w:pStyle w:val="BodyText"/>
        <w:spacing w:before="3"/>
      </w:pPr>
    </w:p>
    <w:p>
      <w:pPr>
        <w:pStyle w:val="ListParagraph"/>
        <w:numPr>
          <w:ilvl w:val="2"/>
          <w:numId w:val="3"/>
        </w:numPr>
        <w:tabs>
          <w:tab w:pos="1187" w:val="left" w:leader="none"/>
          <w:tab w:pos="1188" w:val="left" w:leader="none"/>
        </w:tabs>
        <w:spacing w:line="240" w:lineRule="auto" w:before="0" w:after="0"/>
        <w:ind w:left="169" w:right="162" w:firstLine="719"/>
        <w:jc w:val="left"/>
        <w:rPr>
          <w:sz w:val="22"/>
        </w:rPr>
      </w:pPr>
      <w:r>
        <w:rPr>
          <w:sz w:val="22"/>
        </w:rPr>
        <w:t>Até 10% (dez por cento) do valor total contratado, no caso de sua não realização e/ou descumprimento de alguma das cláusulas</w:t>
      </w:r>
      <w:r>
        <w:rPr>
          <w:spacing w:val="-4"/>
          <w:sz w:val="22"/>
        </w:rPr>
        <w:t> </w:t>
      </w:r>
      <w:r>
        <w:rPr>
          <w:sz w:val="22"/>
        </w:rPr>
        <w:t>contratuais;</w:t>
      </w:r>
    </w:p>
    <w:p>
      <w:pPr>
        <w:pStyle w:val="BodyText"/>
        <w:spacing w:before="5"/>
      </w:pPr>
    </w:p>
    <w:p>
      <w:pPr>
        <w:pStyle w:val="ListParagraph"/>
        <w:numPr>
          <w:ilvl w:val="1"/>
          <w:numId w:val="3"/>
        </w:numPr>
        <w:tabs>
          <w:tab w:pos="602" w:val="left" w:leader="none"/>
        </w:tabs>
        <w:spacing w:line="240" w:lineRule="auto" w:before="1" w:after="0"/>
        <w:ind w:left="169" w:right="18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5"/>
      </w:pPr>
    </w:p>
    <w:p>
      <w:pPr>
        <w:pStyle w:val="ListParagraph"/>
        <w:numPr>
          <w:ilvl w:val="1"/>
          <w:numId w:val="3"/>
        </w:numPr>
        <w:tabs>
          <w:tab w:pos="563" w:val="left" w:leader="none"/>
        </w:tabs>
        <w:spacing w:line="240" w:lineRule="auto" w:before="0" w:after="0"/>
        <w:ind w:left="169" w:right="16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614" w:val="left" w:leader="none"/>
        </w:tabs>
        <w:spacing w:line="240" w:lineRule="auto" w:before="0" w:after="0"/>
        <w:ind w:left="169" w:right="194" w:firstLine="0"/>
        <w:jc w:val="both"/>
        <w:rPr>
          <w:sz w:val="22"/>
        </w:rPr>
      </w:pPr>
      <w:r>
        <w:rPr>
          <w:sz w:val="22"/>
        </w:rPr>
        <w:t>O pagamento da multa não eximirá a CONTRATADA de corrigir as irregularidades que deram causa à penalidade;</w:t>
      </w:r>
    </w:p>
    <w:p>
      <w:pPr>
        <w:pStyle w:val="BodyText"/>
        <w:spacing w:before="5"/>
      </w:pPr>
    </w:p>
    <w:p>
      <w:pPr>
        <w:pStyle w:val="ListParagraph"/>
        <w:numPr>
          <w:ilvl w:val="1"/>
          <w:numId w:val="3"/>
        </w:numPr>
        <w:tabs>
          <w:tab w:pos="605" w:val="left" w:leader="none"/>
        </w:tabs>
        <w:spacing w:line="240" w:lineRule="auto" w:before="0" w:after="0"/>
        <w:ind w:left="169" w:right="16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6"/>
      </w:pPr>
    </w:p>
    <w:p>
      <w:pPr>
        <w:pStyle w:val="ListParagraph"/>
        <w:numPr>
          <w:ilvl w:val="1"/>
          <w:numId w:val="3"/>
        </w:numPr>
        <w:tabs>
          <w:tab w:pos="598" w:val="left" w:leader="none"/>
        </w:tabs>
        <w:spacing w:line="240" w:lineRule="auto" w:before="0" w:after="0"/>
        <w:ind w:left="169" w:right="11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spacing w:before="1"/>
      </w:pPr>
    </w:p>
    <w:p>
      <w:pPr>
        <w:pStyle w:val="Heading1"/>
        <w:jc w:val="both"/>
      </w:pPr>
      <w:r>
        <w:rPr>
          <w:w w:val="105"/>
        </w:rPr>
        <w:t>CLÁUSULA OITAVA - DO VALOR E REAJUSTE</w:t>
      </w:r>
    </w:p>
    <w:p>
      <w:pPr>
        <w:pStyle w:val="BodyText"/>
        <w:rPr>
          <w:b/>
          <w:sz w:val="21"/>
        </w:rPr>
      </w:pPr>
    </w:p>
    <w:p>
      <w:pPr>
        <w:pStyle w:val="BodyText"/>
        <w:ind w:left="169" w:right="119"/>
        <w:jc w:val="both"/>
      </w:pPr>
      <w:r>
        <w:rPr/>
        <w:t>8.1 - O valor total da presente avença é de R$ 29.995,00 (vinte e nove mil, novecentos e noventa e cinco reais), 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w:t>
      </w:r>
      <w:r>
        <w:rPr>
          <w:spacing w:val="-7"/>
        </w:rPr>
        <w:t>devidamente  </w:t>
      </w:r>
      <w:r>
        <w:rPr/>
        <w:t>atestadas pelo setor competente, observadas  a condições da proposta adjudicada e da órdem de serviço</w:t>
      </w:r>
      <w:r>
        <w:rPr>
          <w:spacing w:val="-11"/>
        </w:rPr>
        <w:t> </w:t>
      </w:r>
      <w:r>
        <w:rPr/>
        <w:t>emitida.</w:t>
      </w:r>
    </w:p>
    <w:p>
      <w:pPr>
        <w:pStyle w:val="BodyText"/>
        <w:spacing w:before="10"/>
      </w:pPr>
    </w:p>
    <w:p>
      <w:pPr>
        <w:pStyle w:val="BodyText"/>
        <w:spacing w:before="1"/>
        <w:ind w:left="169" w:right="163"/>
        <w:jc w:val="both"/>
      </w:pPr>
      <w:r>
        <w:rPr/>
        <w:t>Parágrafo Único - Havendo atraso no pagamento, desde que não decorre de ato ou fato atribuível à Contratada, aplicar-se-á o índice do IPCA, a título de compensação financeira, que será o produto resultante da multiplicação</w:t>
      </w:r>
      <w:r>
        <w:rPr>
          <w:spacing w:val="-34"/>
        </w:rPr>
        <w:t> </w:t>
      </w:r>
      <w:r>
        <w:rPr>
          <w:spacing w:val="-3"/>
        </w:rPr>
        <w:t>desse </w:t>
      </w:r>
      <w:r>
        <w:rPr/>
        <w:t>índice do dia anterior ao pagamento pelo número de dias em</w:t>
      </w:r>
      <w:r>
        <w:rPr>
          <w:spacing w:val="-17"/>
        </w:rPr>
        <w:t> </w:t>
      </w:r>
      <w:r>
        <w:rPr/>
        <w:t>atraso,</w:t>
      </w:r>
    </w:p>
    <w:p>
      <w:pPr>
        <w:pStyle w:val="BodyText"/>
        <w:spacing w:before="5"/>
        <w:ind w:left="169"/>
        <w:jc w:val="both"/>
      </w:pPr>
      <w:r>
        <w:rPr/>
        <w:t>repetindo-se a operação a cada mês de atraso.</w:t>
      </w:r>
    </w:p>
    <w:p>
      <w:pPr>
        <w:pStyle w:val="BodyText"/>
        <w:rPr>
          <w:sz w:val="24"/>
        </w:rPr>
      </w:pPr>
    </w:p>
    <w:p>
      <w:pPr>
        <w:pStyle w:val="BodyText"/>
        <w:spacing w:before="9"/>
        <w:rPr>
          <w:sz w:val="21"/>
        </w:rPr>
      </w:pPr>
    </w:p>
    <w:p>
      <w:pPr>
        <w:pStyle w:val="Heading1"/>
        <w:jc w:val="both"/>
      </w:pPr>
      <w:r>
        <w:rPr/>
        <w:t>CLÁUSULA NONA - DA DOTAÇÃO ORÇAMENTÁRIA</w:t>
      </w:r>
    </w:p>
    <w:p>
      <w:pPr>
        <w:pStyle w:val="BodyText"/>
        <w:rPr>
          <w:b/>
          <w:sz w:val="21"/>
        </w:rPr>
      </w:pPr>
    </w:p>
    <w:p>
      <w:pPr>
        <w:pStyle w:val="BodyText"/>
        <w:ind w:left="169" w:right="163"/>
        <w:jc w:val="both"/>
      </w:pPr>
      <w:r>
        <w:rPr/>
        <w:t>9.1 - As despesas contratuais correrão por conta da verba do orçamento do(a) CONTRATANTE, na dotação orçamentária Exercício 2020 Projeto 0902.101220015.3.001 Ações de enfrentamento da COVID-19 no Municipio de Aveiro, Classificação econômica 3.3.90.30.00 Material de consumo, Subelemento 3.3.90.30.28, no valor de R$ 29.995,00, ficando o saldo pertinente aos demais exercícios a ser empenhado oportunamente, à conta dos respectivos orçamentos, caso seja necessário.</w:t>
      </w:r>
    </w:p>
    <w:p>
      <w:pPr>
        <w:spacing w:after="0"/>
        <w:jc w:val="both"/>
        <w:sectPr>
          <w:pgSz w:w="11900" w:h="16840"/>
          <w:pgMar w:header="696" w:footer="1755" w:top="1980" w:bottom="1940" w:left="520" w:right="600"/>
        </w:sect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1"/>
        <w:spacing w:before="95"/>
      </w:pPr>
      <w:r>
        <w:rPr/>
        <w:t>CLÁUSULA DÉCIMA - DAS ALTERAÇÕES CONTRATUAIS</w:t>
      </w:r>
    </w:p>
    <w:p>
      <w:pPr>
        <w:pStyle w:val="BodyText"/>
        <w:rPr>
          <w:b/>
          <w:sz w:val="21"/>
        </w:rPr>
      </w:pPr>
    </w:p>
    <w:p>
      <w:pPr>
        <w:pStyle w:val="BodyText"/>
        <w:ind w:left="169" w:right="153"/>
        <w:jc w:val="both"/>
      </w:pPr>
      <w:r>
        <w:rPr/>
        <w:t>10.1 - O presente contrato poderá ser alterado, nos casos previstos no artigo 65 da Lei n.º 8.666/93, desde que haja interesse da Administração do CONTRATANTE, com a apresentação dasdevidas justificativas.</w:t>
      </w:r>
    </w:p>
    <w:p>
      <w:pPr>
        <w:pStyle w:val="BodyText"/>
        <w:rPr>
          <w:sz w:val="24"/>
        </w:rPr>
      </w:pPr>
    </w:p>
    <w:p>
      <w:pPr>
        <w:pStyle w:val="BodyText"/>
        <w:spacing w:before="11"/>
        <w:rPr>
          <w:sz w:val="21"/>
        </w:rPr>
      </w:pPr>
    </w:p>
    <w:p>
      <w:pPr>
        <w:pStyle w:val="Heading1"/>
      </w:pPr>
      <w:r>
        <w:rPr>
          <w:w w:val="105"/>
        </w:rPr>
        <w:t>CLÁUSULA DÉCIMA PRIMEIRA - DO FORO, BASE LEGAL E FORMALIDADES</w:t>
      </w:r>
    </w:p>
    <w:p>
      <w:pPr>
        <w:pStyle w:val="BodyText"/>
        <w:rPr>
          <w:b/>
          <w:sz w:val="21"/>
        </w:rPr>
      </w:pPr>
    </w:p>
    <w:p>
      <w:pPr>
        <w:pStyle w:val="ListParagraph"/>
        <w:numPr>
          <w:ilvl w:val="1"/>
          <w:numId w:val="4"/>
        </w:numPr>
        <w:tabs>
          <w:tab w:pos="619" w:val="left" w:leader="none"/>
        </w:tabs>
        <w:spacing w:line="240" w:lineRule="auto" w:before="0" w:after="0"/>
        <w:ind w:left="169" w:right="164"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4"/>
        </w:numPr>
        <w:tabs>
          <w:tab w:pos="619" w:val="left" w:leader="none"/>
        </w:tabs>
        <w:spacing w:line="240" w:lineRule="auto" w:before="0" w:after="0"/>
        <w:ind w:left="169" w:right="166" w:firstLine="0"/>
        <w:jc w:val="both"/>
        <w:rPr>
          <w:sz w:val="22"/>
        </w:rPr>
      </w:pPr>
      <w:r>
        <w:rPr>
          <w:sz w:val="22"/>
        </w:rPr>
        <w:t>- Fica eleito o Foro da cidade de ITAITUBA, como o único capaz de </w:t>
      </w:r>
      <w:r>
        <w:rPr>
          <w:spacing w:val="2"/>
          <w:sz w:val="22"/>
        </w:rPr>
        <w:t>dirimir </w:t>
      </w:r>
      <w:r>
        <w:rPr>
          <w:sz w:val="22"/>
        </w:rPr>
        <w:t>as dúvidas oriundas deste Contrato, caso não sejam dirimidas</w:t>
      </w:r>
      <w:r>
        <w:rPr>
          <w:spacing w:val="-6"/>
          <w:sz w:val="22"/>
        </w:rPr>
        <w:t> </w:t>
      </w:r>
      <w:r>
        <w:rPr>
          <w:sz w:val="22"/>
        </w:rPr>
        <w:t>amigavelmente.</w:t>
      </w:r>
    </w:p>
    <w:p>
      <w:pPr>
        <w:pStyle w:val="BodyText"/>
        <w:spacing w:before="5"/>
      </w:pPr>
    </w:p>
    <w:p>
      <w:pPr>
        <w:pStyle w:val="ListParagraph"/>
        <w:numPr>
          <w:ilvl w:val="1"/>
          <w:numId w:val="4"/>
        </w:numPr>
        <w:tabs>
          <w:tab w:pos="619" w:val="left" w:leader="none"/>
        </w:tabs>
        <w:spacing w:line="240" w:lineRule="auto" w:before="1" w:after="0"/>
        <w:ind w:left="169" w:right="114" w:firstLine="0"/>
        <w:jc w:val="both"/>
        <w:rPr>
          <w:sz w:val="22"/>
        </w:rPr>
      </w:pP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rPr>
          <w:sz w:val="24"/>
        </w:rPr>
      </w:pPr>
    </w:p>
    <w:p>
      <w:pPr>
        <w:pStyle w:val="BodyText"/>
        <w:spacing w:before="9"/>
        <w:rPr>
          <w:sz w:val="20"/>
        </w:rPr>
      </w:pPr>
    </w:p>
    <w:p>
      <w:pPr>
        <w:pStyle w:val="BodyText"/>
        <w:ind w:left="3893" w:right="3670"/>
        <w:jc w:val="center"/>
      </w:pPr>
      <w:r>
        <w:rPr/>
        <w:t>AVEIRO-PA, 20 de Maio de 2020</w:t>
      </w:r>
    </w:p>
    <w:p>
      <w:pPr>
        <w:pStyle w:val="BodyText"/>
        <w:rPr>
          <w:sz w:val="24"/>
        </w:rPr>
      </w:pPr>
    </w:p>
    <w:p>
      <w:pPr>
        <w:pStyle w:val="BodyText"/>
        <w:rPr>
          <w:sz w:val="24"/>
        </w:rPr>
      </w:pPr>
    </w:p>
    <w:p>
      <w:pPr>
        <w:pStyle w:val="BodyText"/>
        <w:spacing w:before="214"/>
        <w:ind w:left="3893" w:right="3674"/>
        <w:jc w:val="center"/>
      </w:pPr>
      <w:r>
        <w:rPr/>
        <w:t>FUNDO MUNICIPAL DE SAUDE CNPJ(MF) 17.838.403/0001-07 CONTRATANTE</w:t>
      </w:r>
    </w:p>
    <w:p>
      <w:pPr>
        <w:pStyle w:val="BodyText"/>
        <w:rPr>
          <w:sz w:val="24"/>
        </w:rPr>
      </w:pPr>
    </w:p>
    <w:p>
      <w:pPr>
        <w:pStyle w:val="BodyText"/>
        <w:rPr>
          <w:sz w:val="24"/>
        </w:rPr>
      </w:pPr>
    </w:p>
    <w:p>
      <w:pPr>
        <w:pStyle w:val="BodyText"/>
        <w:spacing w:before="10"/>
        <w:rPr>
          <w:sz w:val="18"/>
        </w:rPr>
      </w:pPr>
    </w:p>
    <w:p>
      <w:pPr>
        <w:pStyle w:val="BodyText"/>
        <w:spacing w:before="1"/>
        <w:ind w:left="4236" w:right="4012"/>
        <w:jc w:val="center"/>
      </w:pPr>
      <w:r>
        <w:rPr>
          <w:w w:val="105"/>
        </w:rPr>
        <w:t>PRADO PHARMA LTDA </w:t>
      </w:r>
      <w:r>
        <w:rPr/>
        <w:t>CNPJ 04.389.760/0001-93 </w:t>
      </w:r>
      <w:r>
        <w:rPr>
          <w:w w:val="105"/>
        </w:rPr>
        <w:t>CONTRATADO(A)</w:t>
      </w:r>
    </w:p>
    <w:p>
      <w:pPr>
        <w:pStyle w:val="BodyText"/>
        <w:rPr>
          <w:sz w:val="24"/>
        </w:rPr>
      </w:pPr>
    </w:p>
    <w:p>
      <w:pPr>
        <w:pStyle w:val="BodyText"/>
        <w:rPr>
          <w:sz w:val="24"/>
        </w:rPr>
      </w:pPr>
    </w:p>
    <w:p>
      <w:pPr>
        <w:pStyle w:val="BodyText"/>
        <w:rPr>
          <w:sz w:val="24"/>
        </w:rPr>
      </w:pPr>
    </w:p>
    <w:p>
      <w:pPr>
        <w:pStyle w:val="BodyText"/>
        <w:spacing w:before="196"/>
        <w:ind w:left="169"/>
      </w:pPr>
      <w:r>
        <w:rPr/>
        <w:t>Testemunhas:</w:t>
      </w:r>
    </w:p>
    <w:p>
      <w:pPr>
        <w:pStyle w:val="BodyText"/>
        <w:rPr>
          <w:sz w:val="20"/>
        </w:rPr>
      </w:pPr>
    </w:p>
    <w:p>
      <w:pPr>
        <w:pStyle w:val="BodyText"/>
        <w:rPr>
          <w:sz w:val="20"/>
        </w:rPr>
      </w:pPr>
    </w:p>
    <w:p>
      <w:pPr>
        <w:pStyle w:val="BodyText"/>
        <w:spacing w:before="4"/>
        <w:rPr>
          <w:sz w:val="18"/>
        </w:rPr>
      </w:pPr>
    </w:p>
    <w:p>
      <w:pPr>
        <w:pStyle w:val="BodyText"/>
        <w:tabs>
          <w:tab w:pos="3873" w:val="left" w:leader="none"/>
          <w:tab w:pos="4902" w:val="left" w:leader="none"/>
          <w:tab w:pos="8699" w:val="left" w:leader="none"/>
        </w:tabs>
        <w:spacing w:before="95"/>
        <w:ind w:left="169"/>
      </w:pPr>
      <w:r>
        <w:rPr/>
        <w:t>1.</w:t>
      </w:r>
      <w:r>
        <w:rPr>
          <w:u w:val="single"/>
        </w:rPr>
        <w:t> </w:t>
        <w:tab/>
      </w:r>
      <w:r>
        <w:rPr/>
        <w:tab/>
        <w:t>2.</w:t>
      </w:r>
      <w:r>
        <w:rPr>
          <w:u w:val="single"/>
        </w:rPr>
        <w:t> </w:t>
        <w:tab/>
      </w:r>
    </w:p>
    <w:sectPr>
      <w:pgSz w:w="11900" w:h="16840"/>
      <w:pgMar w:header="696" w:footer="1755" w:top="1980" w:bottom="1940" w:left="5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720001pt;margin-top:743.227234pt;width:154.25pt;height:11.15pt;mso-position-horizontal-relative:page;mso-position-vertical-relative:page;z-index:-251931648" type="#_x0000_t202" filled="false" stroked="false">
          <v:textbox inset="0,0,0,0">
            <w:txbxContent>
              <w:p>
                <w:pPr>
                  <w:spacing w:before="17"/>
                  <w:ind w:left="20" w:right="0" w:firstLine="0"/>
                  <w:jc w:val="left"/>
                  <w:rPr>
                    <w:b/>
                    <w:sz w:val="16"/>
                  </w:rPr>
                </w:pPr>
                <w:r>
                  <w:rPr>
                    <w:b/>
                    <w:w w:val="105"/>
                    <w:sz w:val="16"/>
                  </w:rPr>
                  <w:t>AV.</w:t>
                </w:r>
                <w:r>
                  <w:rPr>
                    <w:b/>
                    <w:spacing w:val="-14"/>
                    <w:w w:val="105"/>
                    <w:sz w:val="16"/>
                  </w:rPr>
                  <w:t> </w:t>
                </w:r>
                <w:r>
                  <w:rPr>
                    <w:b/>
                    <w:w w:val="105"/>
                    <w:sz w:val="16"/>
                  </w:rPr>
                  <w:t>HUMBERTO</w:t>
                </w:r>
                <w:r>
                  <w:rPr>
                    <w:b/>
                    <w:spacing w:val="-13"/>
                    <w:w w:val="105"/>
                    <w:sz w:val="16"/>
                  </w:rPr>
                  <w:t> </w:t>
                </w:r>
                <w:r>
                  <w:rPr>
                    <w:b/>
                    <w:w w:val="105"/>
                    <w:sz w:val="16"/>
                  </w:rPr>
                  <w:t>DE</w:t>
                </w:r>
                <w:r>
                  <w:rPr>
                    <w:b/>
                    <w:spacing w:val="-14"/>
                    <w:w w:val="105"/>
                    <w:sz w:val="16"/>
                  </w:rPr>
                  <w:t> </w:t>
                </w:r>
                <w:r>
                  <w:rPr>
                    <w:b/>
                    <w:w w:val="105"/>
                    <w:sz w:val="16"/>
                  </w:rPr>
                  <w:t>ABREU</w:t>
                </w:r>
                <w:r>
                  <w:rPr>
                    <w:b/>
                    <w:spacing w:val="-13"/>
                    <w:w w:val="105"/>
                    <w:sz w:val="16"/>
                  </w:rPr>
                  <w:t> </w:t>
                </w:r>
                <w:r>
                  <w:rPr>
                    <w:b/>
                    <w:w w:val="105"/>
                    <w:sz w:val="16"/>
                  </w:rPr>
                  <w:t>FRAZÇÃO</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1760">
          <wp:simplePos x="0" y="0"/>
          <wp:positionH relativeFrom="page">
            <wp:posOffset>522259</wp:posOffset>
          </wp:positionH>
          <wp:positionV relativeFrom="page">
            <wp:posOffset>513888</wp:posOffset>
          </wp:positionV>
          <wp:extent cx="723915" cy="73276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23915" cy="732766"/>
                  </a:xfrm>
                  <a:prstGeom prst="rect">
                    <a:avLst/>
                  </a:prstGeom>
                </pic:spPr>
              </pic:pic>
            </a:graphicData>
          </a:graphic>
        </wp:anchor>
      </w:drawing>
    </w:r>
    <w:r>
      <w:rPr/>
      <w:drawing>
        <wp:anchor distT="0" distB="0" distL="0" distR="0" allowOverlap="1" layoutInCell="1" locked="0" behindDoc="1" simplePos="0" relativeHeight="251382784">
          <wp:simplePos x="0" y="0"/>
          <wp:positionH relativeFrom="page">
            <wp:posOffset>6221359</wp:posOffset>
          </wp:positionH>
          <wp:positionV relativeFrom="page">
            <wp:posOffset>513888</wp:posOffset>
          </wp:positionV>
          <wp:extent cx="751509" cy="75179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1509" cy="75179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1.240005pt;margin-top:33.780556pt;width:195.3pt;height:36.8pt;mso-position-horizontal-relative:page;mso-position-vertical-relative:page;z-index:-251932672" type="#_x0000_t202" filled="false" stroked="false">
          <v:textbox inset="0,0,0,0">
            <w:txbxContent>
              <w:p>
                <w:pPr>
                  <w:spacing w:before="16"/>
                  <w:ind w:left="41" w:right="24" w:firstLine="0"/>
                  <w:jc w:val="center"/>
                  <w:rPr>
                    <w:b/>
                    <w:sz w:val="19"/>
                  </w:rPr>
                </w:pPr>
                <w:r>
                  <w:rPr>
                    <w:b/>
                    <w:sz w:val="19"/>
                  </w:rPr>
                  <w:t>Estado do Pará</w:t>
                </w:r>
              </w:p>
              <w:p>
                <w:pPr>
                  <w:spacing w:before="8"/>
                  <w:ind w:left="41" w:right="41" w:firstLine="0"/>
                  <w:jc w:val="center"/>
                  <w:rPr>
                    <w:b/>
                    <w:sz w:val="22"/>
                  </w:rPr>
                </w:pPr>
                <w:r>
                  <w:rPr>
                    <w:b/>
                    <w:sz w:val="22"/>
                  </w:rPr>
                  <w:t>GOVERNO MUNICIPAL DE AVEIRO</w:t>
                </w:r>
              </w:p>
              <w:p>
                <w:pPr>
                  <w:spacing w:before="0"/>
                  <w:ind w:left="117" w:right="41" w:firstLine="0"/>
                  <w:jc w:val="center"/>
                  <w:rPr>
                    <w:b/>
                    <w:sz w:val="19"/>
                  </w:rPr>
                </w:pPr>
                <w:r>
                  <w:rPr>
                    <w:b/>
                    <w:sz w:val="19"/>
                  </w:rPr>
                  <w:t>FUNDO MUNICIPAL DE SAUDE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169" w:hanging="450"/>
        <w:jc w:val="left"/>
      </w:pPr>
      <w:rPr>
        <w:rFonts w:hint="default"/>
        <w:lang w:val="pt-PT" w:eastAsia="pt-PT" w:bidi="pt-PT"/>
      </w:rPr>
    </w:lvl>
    <w:lvl w:ilvl="1">
      <w:start w:val="1"/>
      <w:numFmt w:val="decimal"/>
      <w:lvlText w:val="%1.%2"/>
      <w:lvlJc w:val="left"/>
      <w:pPr>
        <w:ind w:left="169" w:hanging="450"/>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2284" w:hanging="450"/>
      </w:pPr>
      <w:rPr>
        <w:rFonts w:hint="default"/>
        <w:lang w:val="pt-PT" w:eastAsia="pt-PT" w:bidi="pt-PT"/>
      </w:rPr>
    </w:lvl>
    <w:lvl w:ilvl="3">
      <w:start w:val="0"/>
      <w:numFmt w:val="bullet"/>
      <w:lvlText w:val="•"/>
      <w:lvlJc w:val="left"/>
      <w:pPr>
        <w:ind w:left="3346" w:hanging="450"/>
      </w:pPr>
      <w:rPr>
        <w:rFonts w:hint="default"/>
        <w:lang w:val="pt-PT" w:eastAsia="pt-PT" w:bidi="pt-PT"/>
      </w:rPr>
    </w:lvl>
    <w:lvl w:ilvl="4">
      <w:start w:val="0"/>
      <w:numFmt w:val="bullet"/>
      <w:lvlText w:val="•"/>
      <w:lvlJc w:val="left"/>
      <w:pPr>
        <w:ind w:left="4408" w:hanging="450"/>
      </w:pPr>
      <w:rPr>
        <w:rFonts w:hint="default"/>
        <w:lang w:val="pt-PT" w:eastAsia="pt-PT" w:bidi="pt-PT"/>
      </w:rPr>
    </w:lvl>
    <w:lvl w:ilvl="5">
      <w:start w:val="0"/>
      <w:numFmt w:val="bullet"/>
      <w:lvlText w:val="•"/>
      <w:lvlJc w:val="left"/>
      <w:pPr>
        <w:ind w:left="5470" w:hanging="450"/>
      </w:pPr>
      <w:rPr>
        <w:rFonts w:hint="default"/>
        <w:lang w:val="pt-PT" w:eastAsia="pt-PT" w:bidi="pt-PT"/>
      </w:rPr>
    </w:lvl>
    <w:lvl w:ilvl="6">
      <w:start w:val="0"/>
      <w:numFmt w:val="bullet"/>
      <w:lvlText w:val="•"/>
      <w:lvlJc w:val="left"/>
      <w:pPr>
        <w:ind w:left="6532" w:hanging="450"/>
      </w:pPr>
      <w:rPr>
        <w:rFonts w:hint="default"/>
        <w:lang w:val="pt-PT" w:eastAsia="pt-PT" w:bidi="pt-PT"/>
      </w:rPr>
    </w:lvl>
    <w:lvl w:ilvl="7">
      <w:start w:val="0"/>
      <w:numFmt w:val="bullet"/>
      <w:lvlText w:val="•"/>
      <w:lvlJc w:val="left"/>
      <w:pPr>
        <w:ind w:left="7594" w:hanging="450"/>
      </w:pPr>
      <w:rPr>
        <w:rFonts w:hint="default"/>
        <w:lang w:val="pt-PT" w:eastAsia="pt-PT" w:bidi="pt-PT"/>
      </w:rPr>
    </w:lvl>
    <w:lvl w:ilvl="8">
      <w:start w:val="0"/>
      <w:numFmt w:val="bullet"/>
      <w:lvlText w:val="•"/>
      <w:lvlJc w:val="left"/>
      <w:pPr>
        <w:ind w:left="8656" w:hanging="450"/>
      </w:pPr>
      <w:rPr>
        <w:rFonts w:hint="default"/>
        <w:lang w:val="pt-PT" w:eastAsia="pt-PT" w:bidi="pt-PT"/>
      </w:rPr>
    </w:lvl>
  </w:abstractNum>
  <w:abstractNum w:abstractNumId="2">
    <w:multiLevelType w:val="hybridMultilevel"/>
    <w:lvl w:ilvl="0">
      <w:start w:val="7"/>
      <w:numFmt w:val="decimal"/>
      <w:lvlText w:val="%1"/>
      <w:lvlJc w:val="left"/>
      <w:pPr>
        <w:ind w:left="169" w:hanging="394"/>
        <w:jc w:val="left"/>
      </w:pPr>
      <w:rPr>
        <w:rFonts w:hint="default"/>
        <w:lang w:val="pt-PT" w:eastAsia="pt-PT" w:bidi="pt-PT"/>
      </w:rPr>
    </w:lvl>
    <w:lvl w:ilvl="1">
      <w:start w:val="1"/>
      <w:numFmt w:val="decimal"/>
      <w:lvlText w:val="%1.%2."/>
      <w:lvlJc w:val="left"/>
      <w:pPr>
        <w:ind w:left="169" w:hanging="394"/>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169" w:hanging="298"/>
      </w:pPr>
      <w:rPr>
        <w:rFonts w:hint="default" w:ascii="Times New Roman" w:hAnsi="Times New Roman" w:eastAsia="Times New Roman" w:cs="Times New Roman"/>
        <w:w w:val="102"/>
        <w:sz w:val="22"/>
        <w:szCs w:val="22"/>
        <w:lang w:val="pt-PT" w:eastAsia="pt-PT" w:bidi="pt-PT"/>
      </w:rPr>
    </w:lvl>
    <w:lvl w:ilvl="3">
      <w:start w:val="0"/>
      <w:numFmt w:val="bullet"/>
      <w:lvlText w:val="•"/>
      <w:lvlJc w:val="left"/>
      <w:pPr>
        <w:ind w:left="3346" w:hanging="298"/>
      </w:pPr>
      <w:rPr>
        <w:rFonts w:hint="default"/>
        <w:lang w:val="pt-PT" w:eastAsia="pt-PT" w:bidi="pt-PT"/>
      </w:rPr>
    </w:lvl>
    <w:lvl w:ilvl="4">
      <w:start w:val="0"/>
      <w:numFmt w:val="bullet"/>
      <w:lvlText w:val="•"/>
      <w:lvlJc w:val="left"/>
      <w:pPr>
        <w:ind w:left="4408" w:hanging="298"/>
      </w:pPr>
      <w:rPr>
        <w:rFonts w:hint="default"/>
        <w:lang w:val="pt-PT" w:eastAsia="pt-PT" w:bidi="pt-PT"/>
      </w:rPr>
    </w:lvl>
    <w:lvl w:ilvl="5">
      <w:start w:val="0"/>
      <w:numFmt w:val="bullet"/>
      <w:lvlText w:val="•"/>
      <w:lvlJc w:val="left"/>
      <w:pPr>
        <w:ind w:left="5470" w:hanging="298"/>
      </w:pPr>
      <w:rPr>
        <w:rFonts w:hint="default"/>
        <w:lang w:val="pt-PT" w:eastAsia="pt-PT" w:bidi="pt-PT"/>
      </w:rPr>
    </w:lvl>
    <w:lvl w:ilvl="6">
      <w:start w:val="0"/>
      <w:numFmt w:val="bullet"/>
      <w:lvlText w:val="•"/>
      <w:lvlJc w:val="left"/>
      <w:pPr>
        <w:ind w:left="6532" w:hanging="298"/>
      </w:pPr>
      <w:rPr>
        <w:rFonts w:hint="default"/>
        <w:lang w:val="pt-PT" w:eastAsia="pt-PT" w:bidi="pt-PT"/>
      </w:rPr>
    </w:lvl>
    <w:lvl w:ilvl="7">
      <w:start w:val="0"/>
      <w:numFmt w:val="bullet"/>
      <w:lvlText w:val="•"/>
      <w:lvlJc w:val="left"/>
      <w:pPr>
        <w:ind w:left="7594" w:hanging="298"/>
      </w:pPr>
      <w:rPr>
        <w:rFonts w:hint="default"/>
        <w:lang w:val="pt-PT" w:eastAsia="pt-PT" w:bidi="pt-PT"/>
      </w:rPr>
    </w:lvl>
    <w:lvl w:ilvl="8">
      <w:start w:val="0"/>
      <w:numFmt w:val="bullet"/>
      <w:lvlText w:val="•"/>
      <w:lvlJc w:val="left"/>
      <w:pPr>
        <w:ind w:left="8656" w:hanging="298"/>
      </w:pPr>
      <w:rPr>
        <w:rFonts w:hint="default"/>
        <w:lang w:val="pt-PT" w:eastAsia="pt-PT" w:bidi="pt-PT"/>
      </w:rPr>
    </w:lvl>
  </w:abstractNum>
  <w:abstractNum w:abstractNumId="1">
    <w:multiLevelType w:val="hybridMultilevel"/>
    <w:lvl w:ilvl="0">
      <w:start w:val="4"/>
      <w:numFmt w:val="decimal"/>
      <w:lvlText w:val="%1"/>
      <w:lvlJc w:val="left"/>
      <w:pPr>
        <w:ind w:left="169" w:hanging="403"/>
        <w:jc w:val="left"/>
      </w:pPr>
      <w:rPr>
        <w:rFonts w:hint="default"/>
        <w:lang w:val="pt-PT" w:eastAsia="pt-PT" w:bidi="pt-PT"/>
      </w:rPr>
    </w:lvl>
    <w:lvl w:ilvl="1">
      <w:start w:val="1"/>
      <w:numFmt w:val="decimal"/>
      <w:lvlText w:val="%1.%2."/>
      <w:lvlJc w:val="left"/>
      <w:pPr>
        <w:ind w:left="169" w:hanging="403"/>
        <w:jc w:val="left"/>
      </w:pPr>
      <w:rPr>
        <w:rFonts w:hint="default" w:ascii="Times New Roman" w:hAnsi="Times New Roman" w:eastAsia="Times New Roman" w:cs="Times New Roman"/>
        <w:w w:val="104"/>
        <w:sz w:val="22"/>
        <w:szCs w:val="22"/>
        <w:lang w:val="pt-PT" w:eastAsia="pt-PT" w:bidi="pt-PT"/>
      </w:rPr>
    </w:lvl>
    <w:lvl w:ilvl="2">
      <w:start w:val="0"/>
      <w:numFmt w:val="bullet"/>
      <w:lvlText w:val="•"/>
      <w:lvlJc w:val="left"/>
      <w:pPr>
        <w:ind w:left="2284" w:hanging="403"/>
      </w:pPr>
      <w:rPr>
        <w:rFonts w:hint="default"/>
        <w:lang w:val="pt-PT" w:eastAsia="pt-PT" w:bidi="pt-PT"/>
      </w:rPr>
    </w:lvl>
    <w:lvl w:ilvl="3">
      <w:start w:val="0"/>
      <w:numFmt w:val="bullet"/>
      <w:lvlText w:val="•"/>
      <w:lvlJc w:val="left"/>
      <w:pPr>
        <w:ind w:left="3346" w:hanging="403"/>
      </w:pPr>
      <w:rPr>
        <w:rFonts w:hint="default"/>
        <w:lang w:val="pt-PT" w:eastAsia="pt-PT" w:bidi="pt-PT"/>
      </w:rPr>
    </w:lvl>
    <w:lvl w:ilvl="4">
      <w:start w:val="0"/>
      <w:numFmt w:val="bullet"/>
      <w:lvlText w:val="•"/>
      <w:lvlJc w:val="left"/>
      <w:pPr>
        <w:ind w:left="4408" w:hanging="403"/>
      </w:pPr>
      <w:rPr>
        <w:rFonts w:hint="default"/>
        <w:lang w:val="pt-PT" w:eastAsia="pt-PT" w:bidi="pt-PT"/>
      </w:rPr>
    </w:lvl>
    <w:lvl w:ilvl="5">
      <w:start w:val="0"/>
      <w:numFmt w:val="bullet"/>
      <w:lvlText w:val="•"/>
      <w:lvlJc w:val="left"/>
      <w:pPr>
        <w:ind w:left="5470" w:hanging="403"/>
      </w:pPr>
      <w:rPr>
        <w:rFonts w:hint="default"/>
        <w:lang w:val="pt-PT" w:eastAsia="pt-PT" w:bidi="pt-PT"/>
      </w:rPr>
    </w:lvl>
    <w:lvl w:ilvl="6">
      <w:start w:val="0"/>
      <w:numFmt w:val="bullet"/>
      <w:lvlText w:val="•"/>
      <w:lvlJc w:val="left"/>
      <w:pPr>
        <w:ind w:left="6532" w:hanging="403"/>
      </w:pPr>
      <w:rPr>
        <w:rFonts w:hint="default"/>
        <w:lang w:val="pt-PT" w:eastAsia="pt-PT" w:bidi="pt-PT"/>
      </w:rPr>
    </w:lvl>
    <w:lvl w:ilvl="7">
      <w:start w:val="0"/>
      <w:numFmt w:val="bullet"/>
      <w:lvlText w:val="•"/>
      <w:lvlJc w:val="left"/>
      <w:pPr>
        <w:ind w:left="7594" w:hanging="403"/>
      </w:pPr>
      <w:rPr>
        <w:rFonts w:hint="default"/>
        <w:lang w:val="pt-PT" w:eastAsia="pt-PT" w:bidi="pt-PT"/>
      </w:rPr>
    </w:lvl>
    <w:lvl w:ilvl="8">
      <w:start w:val="0"/>
      <w:numFmt w:val="bullet"/>
      <w:lvlText w:val="•"/>
      <w:lvlJc w:val="left"/>
      <w:pPr>
        <w:ind w:left="8656" w:hanging="403"/>
      </w:pPr>
      <w:rPr>
        <w:rFonts w:hint="default"/>
        <w:lang w:val="pt-PT" w:eastAsia="pt-PT" w:bidi="pt-PT"/>
      </w:rPr>
    </w:lvl>
  </w:abstractNum>
  <w:abstractNum w:abstractNumId="0">
    <w:multiLevelType w:val="hybridMultilevel"/>
    <w:lvl w:ilvl="0">
      <w:start w:val="3"/>
      <w:numFmt w:val="decimal"/>
      <w:lvlText w:val="%1"/>
      <w:lvlJc w:val="left"/>
      <w:pPr>
        <w:ind w:left="557" w:hanging="389"/>
        <w:jc w:val="left"/>
      </w:pPr>
      <w:rPr>
        <w:rFonts w:hint="default"/>
        <w:lang w:val="pt-PT" w:eastAsia="pt-PT" w:bidi="pt-PT"/>
      </w:rPr>
    </w:lvl>
    <w:lvl w:ilvl="1">
      <w:start w:val="1"/>
      <w:numFmt w:val="decimal"/>
      <w:lvlText w:val="%1.%2."/>
      <w:lvlJc w:val="left"/>
      <w:pPr>
        <w:ind w:left="557" w:hanging="389"/>
        <w:jc w:val="left"/>
      </w:pPr>
      <w:rPr>
        <w:rFonts w:hint="default" w:ascii="Times New Roman" w:hAnsi="Times New Roman" w:eastAsia="Times New Roman" w:cs="Times New Roman"/>
        <w:w w:val="100"/>
        <w:sz w:val="22"/>
        <w:szCs w:val="22"/>
        <w:lang w:val="pt-PT" w:eastAsia="pt-PT" w:bidi="pt-PT"/>
      </w:rPr>
    </w:lvl>
    <w:lvl w:ilvl="2">
      <w:start w:val="0"/>
      <w:numFmt w:val="bullet"/>
      <w:lvlText w:val="•"/>
      <w:lvlJc w:val="left"/>
      <w:pPr>
        <w:ind w:left="2604" w:hanging="389"/>
      </w:pPr>
      <w:rPr>
        <w:rFonts w:hint="default"/>
        <w:lang w:val="pt-PT" w:eastAsia="pt-PT" w:bidi="pt-PT"/>
      </w:rPr>
    </w:lvl>
    <w:lvl w:ilvl="3">
      <w:start w:val="0"/>
      <w:numFmt w:val="bullet"/>
      <w:lvlText w:val="•"/>
      <w:lvlJc w:val="left"/>
      <w:pPr>
        <w:ind w:left="3626" w:hanging="389"/>
      </w:pPr>
      <w:rPr>
        <w:rFonts w:hint="default"/>
        <w:lang w:val="pt-PT" w:eastAsia="pt-PT" w:bidi="pt-PT"/>
      </w:rPr>
    </w:lvl>
    <w:lvl w:ilvl="4">
      <w:start w:val="0"/>
      <w:numFmt w:val="bullet"/>
      <w:lvlText w:val="•"/>
      <w:lvlJc w:val="left"/>
      <w:pPr>
        <w:ind w:left="4648" w:hanging="389"/>
      </w:pPr>
      <w:rPr>
        <w:rFonts w:hint="default"/>
        <w:lang w:val="pt-PT" w:eastAsia="pt-PT" w:bidi="pt-PT"/>
      </w:rPr>
    </w:lvl>
    <w:lvl w:ilvl="5">
      <w:start w:val="0"/>
      <w:numFmt w:val="bullet"/>
      <w:lvlText w:val="•"/>
      <w:lvlJc w:val="left"/>
      <w:pPr>
        <w:ind w:left="5670" w:hanging="389"/>
      </w:pPr>
      <w:rPr>
        <w:rFonts w:hint="default"/>
        <w:lang w:val="pt-PT" w:eastAsia="pt-PT" w:bidi="pt-PT"/>
      </w:rPr>
    </w:lvl>
    <w:lvl w:ilvl="6">
      <w:start w:val="0"/>
      <w:numFmt w:val="bullet"/>
      <w:lvlText w:val="•"/>
      <w:lvlJc w:val="left"/>
      <w:pPr>
        <w:ind w:left="6692" w:hanging="389"/>
      </w:pPr>
      <w:rPr>
        <w:rFonts w:hint="default"/>
        <w:lang w:val="pt-PT" w:eastAsia="pt-PT" w:bidi="pt-PT"/>
      </w:rPr>
    </w:lvl>
    <w:lvl w:ilvl="7">
      <w:start w:val="0"/>
      <w:numFmt w:val="bullet"/>
      <w:lvlText w:val="•"/>
      <w:lvlJc w:val="left"/>
      <w:pPr>
        <w:ind w:left="7714" w:hanging="389"/>
      </w:pPr>
      <w:rPr>
        <w:rFonts w:hint="default"/>
        <w:lang w:val="pt-PT" w:eastAsia="pt-PT" w:bidi="pt-PT"/>
      </w:rPr>
    </w:lvl>
    <w:lvl w:ilvl="8">
      <w:start w:val="0"/>
      <w:numFmt w:val="bullet"/>
      <w:lvlText w:val="•"/>
      <w:lvlJc w:val="left"/>
      <w:pPr>
        <w:ind w:left="8736" w:hanging="389"/>
      </w:pPr>
      <w:rPr>
        <w:rFonts w:hint="default"/>
        <w:lang w:val="pt-PT" w:eastAsia="pt-PT" w:bidi="pt-P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2"/>
      <w:szCs w:val="22"/>
      <w:lang w:val="pt-PT" w:eastAsia="pt-PT" w:bidi="pt-PT"/>
    </w:rPr>
  </w:style>
  <w:style w:styleId="Heading1" w:type="paragraph">
    <w:name w:val="Heading 1"/>
    <w:basedOn w:val="Normal"/>
    <w:uiPriority w:val="1"/>
    <w:qFormat/>
    <w:pPr>
      <w:ind w:left="169"/>
      <w:outlineLvl w:val="1"/>
    </w:pPr>
    <w:rPr>
      <w:rFonts w:ascii="Times New Roman" w:hAnsi="Times New Roman" w:eastAsia="Times New Roman" w:cs="Times New Roman"/>
      <w:b/>
      <w:bCs/>
      <w:sz w:val="22"/>
      <w:szCs w:val="22"/>
      <w:lang w:val="pt-PT" w:eastAsia="pt-PT" w:bidi="pt-PT"/>
    </w:rPr>
  </w:style>
  <w:style w:styleId="ListParagraph" w:type="paragraph">
    <w:name w:val="List Paragraph"/>
    <w:basedOn w:val="Normal"/>
    <w:uiPriority w:val="1"/>
    <w:qFormat/>
    <w:pPr>
      <w:ind w:left="169"/>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rFonts w:ascii="Courier New" w:hAnsi="Courier New" w:eastAsia="Courier New" w:cs="Courier New"/>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2020-07-20T20:09:16Z</dcterms:created>
  <dcterms:modified xsi:type="dcterms:W3CDTF">2020-07-20T20:09:16Z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LastSaved">
    <vt:filetime>2020-07-20T00:00:00Z</vt:filetime>
  </property>
</Properties>
</file>